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outlineLvl w:val="0"/>
        <w:rPr>
          <w:rFonts w:hint="default" w:ascii="Times New Roman" w:hAnsi="Times New Roman" w:eastAsia="方正小标宋简体" w:cs="Times New Roman"/>
          <w:sz w:val="44"/>
          <w:szCs w:val="44"/>
        </w:rPr>
      </w:pPr>
      <w:bookmarkStart w:id="0" w:name="_Toc11851"/>
      <w:r>
        <w:rPr>
          <w:rFonts w:hint="default" w:ascii="Times New Roman" w:hAnsi="Times New Roman" w:eastAsia="方正小标宋简体" w:cs="Times New Roman"/>
          <w:sz w:val="44"/>
          <w:szCs w:val="44"/>
        </w:rPr>
        <w:t>武定县“十四五”高原特色现代农业和绿色</w:t>
      </w:r>
    </w:p>
    <w:p>
      <w:pPr>
        <w:adjustRightInd w:val="0"/>
        <w:snapToGrid w:val="0"/>
        <w:spacing w:line="56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食品产业发展规划</w:t>
      </w:r>
      <w:bookmarkEnd w:id="0"/>
    </w:p>
    <w:p>
      <w:pPr>
        <w:adjustRightInd w:val="0"/>
        <w:snapToGrid w:val="0"/>
        <w:spacing w:line="560" w:lineRule="exact"/>
        <w:rPr>
          <w:rFonts w:hint="default" w:ascii="Times New Roman" w:hAnsi="Times New Roman" w:eastAsia="方正仿宋简体" w:cs="Times New Roman"/>
          <w:sz w:val="28"/>
          <w:szCs w:val="28"/>
        </w:rPr>
      </w:pPr>
    </w:p>
    <w:p>
      <w:pPr>
        <w:adjustRightInd w:val="0"/>
        <w:snapToGrid w:val="0"/>
        <w:spacing w:line="560" w:lineRule="exact"/>
        <w:ind w:firstLine="560" w:firstLineChars="200"/>
        <w:rPr>
          <w:rFonts w:hint="default" w:ascii="Times New Roman" w:hAnsi="Times New Roman" w:eastAsia="方正仿宋简体" w:cs="Times New Roman"/>
          <w:sz w:val="28"/>
          <w:szCs w:val="28"/>
        </w:rPr>
      </w:pPr>
    </w:p>
    <w:p>
      <w:pPr>
        <w:adjustRightInd w:val="0"/>
        <w:snapToGrid w:val="0"/>
        <w:spacing w:line="560" w:lineRule="exact"/>
        <w:ind w:firstLine="560" w:firstLineChars="200"/>
        <w:rPr>
          <w:rFonts w:hint="default" w:ascii="Times New Roman" w:hAnsi="Times New Roman" w:eastAsia="方正仿宋简体" w:cs="Times New Roman"/>
          <w:sz w:val="28"/>
          <w:szCs w:val="28"/>
        </w:rPr>
      </w:pPr>
    </w:p>
    <w:p>
      <w:pPr>
        <w:adjustRightInd w:val="0"/>
        <w:snapToGrid w:val="0"/>
        <w:spacing w:line="560" w:lineRule="exact"/>
        <w:ind w:firstLine="560" w:firstLineChars="200"/>
        <w:rPr>
          <w:rFonts w:hint="default" w:ascii="Times New Roman" w:hAnsi="Times New Roman" w:eastAsia="方正仿宋简体" w:cs="Times New Roman"/>
          <w:sz w:val="28"/>
          <w:szCs w:val="28"/>
        </w:rPr>
      </w:pPr>
    </w:p>
    <w:p>
      <w:pPr>
        <w:adjustRightInd w:val="0"/>
        <w:snapToGrid w:val="0"/>
        <w:spacing w:line="560" w:lineRule="exact"/>
        <w:ind w:firstLine="560" w:firstLineChars="200"/>
        <w:rPr>
          <w:rFonts w:hint="default" w:ascii="Times New Roman" w:hAnsi="Times New Roman" w:eastAsia="方正仿宋简体" w:cs="Times New Roman"/>
          <w:sz w:val="28"/>
          <w:szCs w:val="28"/>
        </w:rPr>
      </w:pPr>
    </w:p>
    <w:p>
      <w:pPr>
        <w:adjustRightInd w:val="0"/>
        <w:snapToGrid w:val="0"/>
        <w:spacing w:line="560" w:lineRule="exact"/>
        <w:ind w:firstLine="560" w:firstLineChars="200"/>
        <w:rPr>
          <w:rFonts w:hint="default" w:ascii="Times New Roman" w:hAnsi="Times New Roman" w:eastAsia="方正仿宋简体" w:cs="Times New Roman"/>
          <w:sz w:val="28"/>
          <w:szCs w:val="28"/>
        </w:rPr>
      </w:pPr>
    </w:p>
    <w:p>
      <w:pPr>
        <w:pStyle w:val="2"/>
        <w:adjustRightInd w:val="0"/>
        <w:snapToGrid w:val="0"/>
        <w:spacing w:line="560" w:lineRule="exact"/>
        <w:rPr>
          <w:rFonts w:hint="default" w:ascii="Times New Roman" w:hAnsi="Times New Roman" w:eastAsia="方正仿宋简体" w:cs="Times New Roman"/>
          <w:sz w:val="28"/>
          <w:szCs w:val="28"/>
        </w:rPr>
      </w:pPr>
    </w:p>
    <w:p>
      <w:pPr>
        <w:adjustRightInd w:val="0"/>
        <w:snapToGrid w:val="0"/>
        <w:spacing w:line="560" w:lineRule="exact"/>
        <w:rPr>
          <w:rFonts w:hint="default" w:ascii="Times New Roman" w:hAnsi="Times New Roman" w:eastAsia="方正仿宋简体" w:cs="Times New Roman"/>
          <w:sz w:val="28"/>
          <w:szCs w:val="28"/>
        </w:rPr>
      </w:pPr>
    </w:p>
    <w:p>
      <w:pPr>
        <w:pStyle w:val="2"/>
        <w:adjustRightInd w:val="0"/>
        <w:snapToGrid w:val="0"/>
        <w:spacing w:line="560" w:lineRule="exact"/>
        <w:rPr>
          <w:rFonts w:hint="default" w:ascii="Times New Roman" w:hAnsi="Times New Roman" w:eastAsia="方正仿宋简体" w:cs="Times New Roman"/>
          <w:sz w:val="28"/>
          <w:szCs w:val="28"/>
        </w:rPr>
      </w:pPr>
    </w:p>
    <w:p>
      <w:pPr>
        <w:adjustRightInd w:val="0"/>
        <w:snapToGrid w:val="0"/>
        <w:spacing w:line="560" w:lineRule="exact"/>
        <w:rPr>
          <w:rFonts w:hint="default" w:ascii="Times New Roman" w:hAnsi="Times New Roman" w:eastAsia="方正仿宋简体" w:cs="Times New Roman"/>
          <w:sz w:val="28"/>
          <w:szCs w:val="28"/>
        </w:rPr>
      </w:pPr>
    </w:p>
    <w:p>
      <w:pPr>
        <w:pStyle w:val="2"/>
        <w:adjustRightInd w:val="0"/>
        <w:snapToGrid w:val="0"/>
        <w:spacing w:line="560" w:lineRule="exact"/>
        <w:rPr>
          <w:rFonts w:hint="default" w:ascii="Times New Roman" w:hAnsi="Times New Roman" w:eastAsia="方正仿宋简体" w:cs="Times New Roman"/>
          <w:sz w:val="28"/>
          <w:szCs w:val="28"/>
        </w:rPr>
      </w:pPr>
    </w:p>
    <w:p>
      <w:pPr>
        <w:adjustRightInd w:val="0"/>
        <w:snapToGrid w:val="0"/>
        <w:spacing w:line="560" w:lineRule="exact"/>
        <w:rPr>
          <w:rFonts w:hint="default" w:ascii="Times New Roman" w:hAnsi="Times New Roman" w:eastAsia="方正仿宋简体" w:cs="Times New Roman"/>
          <w:sz w:val="28"/>
          <w:szCs w:val="28"/>
        </w:rPr>
      </w:pPr>
    </w:p>
    <w:p>
      <w:pPr>
        <w:adjustRightInd w:val="0"/>
        <w:snapToGrid w:val="0"/>
        <w:spacing w:line="560" w:lineRule="exact"/>
        <w:rPr>
          <w:rFonts w:hint="default" w:ascii="Times New Roman" w:hAnsi="Times New Roman" w:eastAsia="方正仿宋简体" w:cs="Times New Roman"/>
          <w:sz w:val="28"/>
          <w:szCs w:val="28"/>
        </w:rPr>
      </w:pPr>
    </w:p>
    <w:p>
      <w:pPr>
        <w:adjustRightInd w:val="0"/>
        <w:snapToGrid w:val="0"/>
        <w:spacing w:line="560" w:lineRule="exact"/>
        <w:jc w:val="center"/>
        <w:rPr>
          <w:rFonts w:hint="default" w:ascii="Times New Roman" w:hAnsi="Times New Roman" w:eastAsia="方正楷体简体" w:cs="Times New Roman"/>
          <w:sz w:val="32"/>
          <w:szCs w:val="32"/>
        </w:rPr>
      </w:pPr>
    </w:p>
    <w:p>
      <w:pPr>
        <w:pStyle w:val="2"/>
        <w:rPr>
          <w:rFonts w:hint="default" w:ascii="Times New Roman" w:hAnsi="Times New Roman" w:eastAsia="方正楷体简体" w:cs="Times New Roman"/>
          <w:sz w:val="32"/>
          <w:szCs w:val="32"/>
        </w:rPr>
      </w:pPr>
    </w:p>
    <w:p>
      <w:pPr>
        <w:rPr>
          <w:rFonts w:hint="default" w:ascii="Times New Roman" w:hAnsi="Times New Roman" w:eastAsia="方正楷体简体" w:cs="Times New Roman"/>
          <w:sz w:val="32"/>
          <w:szCs w:val="32"/>
        </w:rPr>
      </w:pPr>
    </w:p>
    <w:p>
      <w:pPr>
        <w:rPr>
          <w:rFonts w:hint="default" w:ascii="Times New Roman" w:hAnsi="Times New Roman" w:cs="Times New Roman"/>
        </w:rPr>
      </w:pPr>
    </w:p>
    <w:p>
      <w:pPr>
        <w:adjustRightInd w:val="0"/>
        <w:snapToGrid w:val="0"/>
        <w:spacing w:line="560" w:lineRule="exact"/>
        <w:jc w:val="center"/>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县农业农村局</w:t>
      </w:r>
    </w:p>
    <w:p>
      <w:pPr>
        <w:adjustRightInd w:val="0"/>
        <w:snapToGrid w:val="0"/>
        <w:spacing w:line="560" w:lineRule="exact"/>
        <w:jc w:val="center"/>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2022年12月</w:t>
      </w:r>
    </w:p>
    <w:p>
      <w:pPr>
        <w:adjustRightInd w:val="0"/>
        <w:snapToGrid w:val="0"/>
        <w:spacing w:line="560" w:lineRule="exact"/>
        <w:jc w:val="center"/>
        <w:rPr>
          <w:rFonts w:hint="default" w:ascii="Times New Roman" w:hAnsi="Times New Roman" w:eastAsia="方正楷体简体" w:cs="Times New Roman"/>
          <w:sz w:val="32"/>
          <w:szCs w:val="32"/>
          <w:lang w:val="zh-CN"/>
        </w:rPr>
      </w:pPr>
    </w:p>
    <w:p>
      <w:pPr>
        <w:adjustRightInd w:val="0"/>
        <w:snapToGrid w:val="0"/>
        <w:spacing w:line="560" w:lineRule="exact"/>
        <w:jc w:val="center"/>
        <w:rPr>
          <w:rFonts w:hint="default" w:ascii="Times New Roman" w:hAnsi="Times New Roman" w:eastAsia="宋体" w:cs="Times New Roman"/>
        </w:rPr>
        <w:sectPr>
          <w:headerReference r:id="rId3" w:type="default"/>
          <w:pgSz w:w="11906" w:h="16838"/>
          <w:pgMar w:top="2098" w:right="1474" w:bottom="1984" w:left="1587" w:header="851" w:footer="992" w:gutter="0"/>
          <w:pgNumType w:fmt="decimal"/>
          <w:cols w:space="425" w:num="1"/>
          <w:docGrid w:type="lines" w:linePitch="312" w:charSpace="0"/>
        </w:sectPr>
      </w:pPr>
    </w:p>
    <w:sdt>
      <w:sdtPr>
        <w:rPr>
          <w:rFonts w:hint="default" w:ascii="Times New Roman" w:hAnsi="Times New Roman" w:eastAsia="宋体" w:cs="Times New Roman"/>
          <w:b/>
          <w:bCs/>
          <w:sz w:val="32"/>
          <w:szCs w:val="32"/>
        </w:rPr>
        <w:id w:val="147465045"/>
      </w:sdtPr>
      <w:sdtEndPr>
        <w:rPr>
          <w:rFonts w:hint="default" w:ascii="Times New Roman" w:hAnsi="Times New Roman" w:cs="Times New Roman" w:eastAsiaTheme="majorEastAsia"/>
          <w:b/>
          <w:bCs/>
          <w:sz w:val="32"/>
          <w:szCs w:val="32"/>
        </w:rPr>
      </w:sdtEndPr>
      <w:sdtContent>
        <w:p>
          <w:pPr>
            <w:adjustRightInd w:val="0"/>
            <w:snapToGrid w:val="0"/>
            <w:spacing w:line="560" w:lineRule="exact"/>
            <w:jc w:val="center"/>
            <w:rPr>
              <w:rFonts w:hint="default" w:ascii="Times New Roman" w:hAnsi="Times New Roman" w:cs="Times New Roman"/>
            </w:rPr>
          </w:pPr>
          <w:r>
            <w:rPr>
              <w:rFonts w:hint="default" w:ascii="Times New Roman" w:hAnsi="Times New Roman" w:eastAsia="方正小标宋简体" w:cs="Times New Roman"/>
              <w:sz w:val="44"/>
              <w:szCs w:val="44"/>
            </w:rPr>
            <w:t>目录</w:t>
          </w: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"_Toc2254" </w:instrText>
          </w:r>
          <w:r>
            <w:rPr>
              <w:rFonts w:hint="default" w:ascii="Times New Roman" w:hAnsi="Times New Roman" w:cs="Times New Roman"/>
            </w:rPr>
            <w:fldChar w:fldCharType="separate"/>
          </w:r>
          <w:r>
            <w:rPr>
              <w:rFonts w:hint="default" w:ascii="Times New Roman" w:hAnsi="Times New Roman" w:eastAsia="方正小标宋简体" w:cs="Times New Roman"/>
              <w:sz w:val="28"/>
              <w:szCs w:val="28"/>
            </w:rPr>
            <w:t>前  言</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_Toc2254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1</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"_Toc29073"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第一章  发展基础和环境</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_Toc29073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"_Toc6289"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资源概况</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_Toc6289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"_Toc30696"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发展现状</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_Toc30696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"_Toc16189"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机遇和挑战</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_Toc16189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13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"_Toc15570"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第二章  总体要求</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_Toc15570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17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"_Toc19864"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指导思想</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_Toc19864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17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"_Toc14309"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基本原则</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_Toc14309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17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"_Toc5646"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发展目标</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_Toc5646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18</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"_Toc2963"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第四节  空间布局</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_Toc2963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"_Toc1396"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第三章  全力打造“绿色食品牌”</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_Toc1396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"_Toc10544"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培强做大“一县一业”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_Toc10544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"_Toc26576"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大力发展现代种业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_Toc26576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"_Toc21669"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推动农村电商发展</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_Toc21669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24</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6"/>
            <w:tabs>
              <w:tab w:val="right" w:leader="dot" w:pos="8845"/>
            </w:tabs>
            <w:adjustRightInd w:val="0"/>
            <w:snapToGrid w:val="0"/>
            <w:spacing w:line="560" w:lineRule="exact"/>
            <w:ind w:left="0" w:leftChars="0"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"_Toc24953"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第四节  提升农业设施化水平</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_Toc24953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26</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6"/>
            <w:tabs>
              <w:tab w:val="right" w:leader="dot" w:pos="8845"/>
            </w:tabs>
            <w:adjustRightInd w:val="0"/>
            <w:snapToGrid w:val="0"/>
            <w:spacing w:line="560" w:lineRule="exact"/>
            <w:ind w:left="0" w:leftChars="0"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"_Toc6325"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第五节  推进农业有机化发展</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_Toc6325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6"/>
            <w:tabs>
              <w:tab w:val="right" w:leader="dot" w:pos="8845"/>
            </w:tabs>
            <w:adjustRightInd w:val="0"/>
            <w:snapToGrid w:val="0"/>
            <w:spacing w:line="560" w:lineRule="exact"/>
            <w:ind w:left="0" w:leftChars="0"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"_Toc4807"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第六节  提升农业数字化水平</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_Toc4807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"_Toc23158"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第四章  推动高原特色现代农业高质量发展</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_Toc23158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28</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"_Toc25129"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稳定粮食供给保障</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_Toc25129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28</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"_Toc28032"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蔬菜产业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_Toc28032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29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"_Toc5002"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花卉产业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_Toc5002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cs="Times New Roman"/>
            </w:rPr>
            <w:sectPr>
              <w:footerReference r:id="rId4" w:type="default"/>
              <w:pgSz w:w="11906" w:h="16838"/>
              <w:pgMar w:top="1984" w:right="1474" w:bottom="2098" w:left="1587" w:header="851" w:footer="992" w:gutter="0"/>
              <w:pgNumType w:fmt="decimal" w:start="1"/>
              <w:cols w:space="425" w:num="1"/>
              <w:docGrid w:type="lines" w:linePitch="312" w:charSpace="0"/>
            </w:sectPr>
          </w:pP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"_Toc2675"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第四节  食用菌产业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_Toc2675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32</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"_Toc11121"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第五节  畜牧业产业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_Toc11121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"_Toc18335"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第六节  特色水果产业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_Toc18335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"_Toc15831"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第七节  植物蛋白产业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_Toc15831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"_Toc23808"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第八节  中药材产业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_Toc23808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38</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"_Toc21944"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第九节  淡水渔业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_Toc21944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"_Toc8277"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第十节 林下经济</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_Toc8277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39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"_Toc1390"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第五章  大力发展绿色食品加工</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_Toc1390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"_Toc16903"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推动食品加工业集聚化发展</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_Toc16903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"_Toc22658"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提升绿色食品加工水平</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_Toc22658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"_Toc5638"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扶强绿色食品加工企业</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_Toc5638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42</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"_Toc32479"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第四节  加大招商引资力度</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_Toc32479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"_Toc4692"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第六章  重点工程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_Toc4692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44</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"_Toc3371"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新动能培育工程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_Toc3371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44</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"_Toc24435"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主体培育工程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_Toc24435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44</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"_Toc14561"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平台建设工程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_Toc14561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45</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"_Toc12728"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第四节  融合发展工程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_Toc12728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"_Toc5631"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第五节  品牌打造工程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_Toc5631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48</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"_Toc8762"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第六节  创新驱动工程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_Toc8762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49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"_Toc8711"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第七节  “武品出滇”工程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_Toc8711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"_Toc1555"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第八节  农业基础设施筑强工程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_Toc1555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52</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"_Toc31944"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第九节  农业绿色发展工程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_Toc31944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53</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cs="Times New Roman"/>
            </w:rPr>
            <w:sectPr>
              <w:footerReference r:id="rId5" w:type="default"/>
              <w:pgSz w:w="11906" w:h="16838"/>
              <w:pgMar w:top="1984" w:right="1474" w:bottom="2098" w:left="1587" w:header="851" w:footer="992" w:gutter="0"/>
              <w:pgNumType w:fmt="decimal" w:start="1"/>
              <w:cols w:space="425" w:num="1"/>
              <w:docGrid w:type="lines" w:linePitch="312" w:charSpace="0"/>
            </w:sectPr>
          </w:pP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"_Toc2184"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第十节  人才强农工程</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_Toc2184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55</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"_Toc19550"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第七章  环境影响分析</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_Toc19550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"_Toc26505"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有利环境因素分析</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_Toc26505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"_Toc20018"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不良环境影响分析</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_Toc20018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57</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"_Toc27950"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消除环境影响措施</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_Toc27950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58</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"_Toc25858" </w:instrText>
          </w:r>
          <w:r>
            <w:rPr>
              <w:rFonts w:hint="default" w:ascii="Times New Roman" w:hAnsi="Times New Roman" w:cs="Times New Roman"/>
            </w:rPr>
            <w:fldChar w:fldCharType="separate"/>
          </w:r>
          <w:r>
            <w:rPr>
              <w:rFonts w:hint="default" w:ascii="Times New Roman" w:hAnsi="Times New Roman" w:eastAsia="方正黑体" w:cs="Times New Roman"/>
              <w:sz w:val="28"/>
              <w:szCs w:val="28"/>
            </w:rPr>
            <w:t>第八章  保障措施</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_Toc25858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"_Toc22043"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第一节  强化组织领导</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_Toc22043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"_Toc13378"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第二节  强化要素保障</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_Toc13378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"_Toc5098"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第三节  加强项目支撑</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_Toc5098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59</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pStyle w:val="13"/>
            <w:tabs>
              <w:tab w:val="right" w:leader="dot" w:pos="8845"/>
            </w:tabs>
            <w:adjustRightInd w:val="0"/>
            <w:snapToGrid w:val="0"/>
            <w:spacing w:line="560" w:lineRule="exact"/>
            <w:ind w:firstLine="420" w:firstLineChars="200"/>
            <w:rPr>
              <w:rFonts w:hint="default" w:ascii="Times New Roman" w:hAnsi="Times New Roman" w:eastAsia="方正楷体"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"_Toc6986" </w:instrText>
          </w:r>
          <w:r>
            <w:rPr>
              <w:rFonts w:hint="default" w:ascii="Times New Roman" w:hAnsi="Times New Roman" w:cs="Times New Roman"/>
            </w:rPr>
            <w:fldChar w:fldCharType="separate"/>
          </w:r>
          <w:r>
            <w:rPr>
              <w:rFonts w:hint="default" w:ascii="Times New Roman" w:hAnsi="Times New Roman" w:eastAsia="方正楷体" w:cs="Times New Roman"/>
              <w:sz w:val="28"/>
              <w:szCs w:val="28"/>
            </w:rPr>
            <w:t>第四节  严格监督考核</w:t>
          </w:r>
          <w:r>
            <w:rPr>
              <w:rFonts w:hint="default" w:ascii="Times New Roman" w:hAnsi="Times New Roman" w:eastAsia="方正楷体" w:cs="Times New Roman"/>
              <w:sz w:val="28"/>
              <w:szCs w:val="28"/>
            </w:rPr>
            <w:tab/>
          </w:r>
          <w:r>
            <w:rPr>
              <w:rFonts w:hint="default" w:ascii="Times New Roman" w:hAnsi="Times New Roman" w:eastAsia="方正楷体" w:cs="Times New Roman"/>
              <w:sz w:val="28"/>
              <w:szCs w:val="28"/>
            </w:rPr>
            <w:fldChar w:fldCharType="begin"/>
          </w:r>
          <w:r>
            <w:rPr>
              <w:rFonts w:hint="default" w:ascii="Times New Roman" w:hAnsi="Times New Roman" w:eastAsia="方正楷体" w:cs="Times New Roman"/>
              <w:sz w:val="28"/>
              <w:szCs w:val="28"/>
            </w:rPr>
            <w:instrText xml:space="preserve"> PAGEREF _Toc6986 \h </w:instrText>
          </w:r>
          <w:r>
            <w:rPr>
              <w:rFonts w:hint="default" w:ascii="Times New Roman" w:hAnsi="Times New Roman" w:eastAsia="方正楷体" w:cs="Times New Roman"/>
              <w:sz w:val="28"/>
              <w:szCs w:val="28"/>
            </w:rPr>
            <w:fldChar w:fldCharType="separate"/>
          </w:r>
          <w:r>
            <w:rPr>
              <w:rFonts w:hint="default" w:ascii="Times New Roman" w:hAnsi="Times New Roman" w:eastAsia="方正楷体" w:cs="Times New Roman"/>
              <w:sz w:val="28"/>
              <w:szCs w:val="28"/>
            </w:rPr>
            <w:t>60</w:t>
          </w:r>
          <w:r>
            <w:rPr>
              <w:rFonts w:hint="default" w:ascii="Times New Roman" w:hAnsi="Times New Roman" w:eastAsia="方正楷体" w:cs="Times New Roman"/>
              <w:sz w:val="28"/>
              <w:szCs w:val="28"/>
            </w:rPr>
            <w:fldChar w:fldCharType="end"/>
          </w:r>
          <w:r>
            <w:rPr>
              <w:rFonts w:hint="default" w:ascii="Times New Roman" w:hAnsi="Times New Roman" w:eastAsia="方正楷体" w:cs="Times New Roman"/>
              <w:sz w:val="28"/>
              <w:szCs w:val="28"/>
            </w:rPr>
            <w:fldChar w:fldCharType="end"/>
          </w:r>
        </w:p>
        <w:p>
          <w:pPr>
            <w:rPr>
              <w:rFonts w:hint="default" w:ascii="Times New Roman" w:hAnsi="Times New Roman" w:eastAsia="方正黑体" w:cs="Times New Roman"/>
              <w:lang w:val="en-US" w:eastAsia="zh-CN"/>
            </w:rPr>
          </w:pPr>
          <w:r>
            <w:rPr>
              <w:rFonts w:hint="default" w:ascii="Times New Roman" w:hAnsi="Times New Roman" w:eastAsia="方正黑体" w:cs="Times New Roman"/>
              <w:sz w:val="28"/>
              <w:szCs w:val="28"/>
              <w:lang w:eastAsia="zh-CN"/>
            </w:rPr>
            <w:t>附</w:t>
          </w:r>
          <w:r>
            <w:rPr>
              <w:rFonts w:hint="default" w:ascii="Times New Roman" w:hAnsi="Times New Roman" w:eastAsia="方正黑体" w:cs="Times New Roman"/>
              <w:sz w:val="28"/>
              <w:szCs w:val="28"/>
              <w:lang w:val="en-US" w:eastAsia="zh-CN"/>
            </w:rPr>
            <w:t xml:space="preserve">  </w:t>
          </w:r>
          <w:r>
            <w:rPr>
              <w:rFonts w:hint="default" w:ascii="Times New Roman" w:hAnsi="Times New Roman" w:eastAsia="方正黑体" w:cs="Times New Roman"/>
              <w:sz w:val="28"/>
              <w:szCs w:val="28"/>
              <w:lang w:eastAsia="zh-CN"/>
            </w:rPr>
            <w:t>件</w:t>
          </w:r>
          <w:r>
            <w:rPr>
              <w:rFonts w:hint="default" w:ascii="Times New Roman" w:hAnsi="Times New Roman" w:eastAsia="方正黑体" w:cs="Times New Roman"/>
              <w:sz w:val="28"/>
              <w:szCs w:val="28"/>
              <w:lang w:val="en-US" w:eastAsia="zh-CN"/>
            </w:rPr>
            <w:t>...................................................................</w:t>
          </w:r>
          <w:r>
            <w:rPr>
              <w:rFonts w:hint="eastAsia" w:ascii="Times New Roman" w:hAnsi="Times New Roman" w:eastAsia="方正黑体" w:cs="Times New Roman"/>
              <w:sz w:val="28"/>
              <w:szCs w:val="28"/>
              <w:lang w:val="en-US" w:eastAsia="zh-CN"/>
            </w:rPr>
            <w:t>............</w:t>
          </w:r>
          <w:r>
            <w:rPr>
              <w:rFonts w:hint="default" w:ascii="Times New Roman" w:hAnsi="Times New Roman" w:eastAsia="方正黑体" w:cs="Times New Roman"/>
              <w:sz w:val="28"/>
              <w:szCs w:val="28"/>
              <w:lang w:val="en-US" w:eastAsia="zh-CN"/>
            </w:rPr>
            <w:t>...............................62</w:t>
          </w:r>
        </w:p>
        <w:p>
          <w:pPr>
            <w:pStyle w:val="19"/>
            <w:adjustRightInd w:val="0"/>
            <w:snapToGrid w:val="0"/>
            <w:spacing w:before="0" w:after="0" w:line="560" w:lineRule="exact"/>
            <w:jc w:val="both"/>
            <w:outlineLvl w:val="9"/>
            <w:rPr>
              <w:rFonts w:hint="default" w:ascii="Times New Roman" w:hAnsi="Times New Roman" w:cs="Times New Roman"/>
            </w:rPr>
          </w:pPr>
          <w:r>
            <w:rPr>
              <w:rFonts w:hint="default" w:ascii="Times New Roman" w:hAnsi="Times New Roman" w:cs="Times New Roman"/>
            </w:rPr>
            <w:fldChar w:fldCharType="end"/>
          </w:r>
        </w:p>
      </w:sdtContent>
    </w:sdt>
    <w:p>
      <w:pPr>
        <w:pStyle w:val="19"/>
        <w:adjustRightInd w:val="0"/>
        <w:snapToGrid w:val="0"/>
        <w:spacing w:before="0" w:after="0" w:line="560" w:lineRule="exact"/>
        <w:jc w:val="both"/>
        <w:rPr>
          <w:rFonts w:hint="default" w:ascii="Times New Roman" w:hAnsi="Times New Roman" w:eastAsia="方正小标宋简体" w:cs="Times New Roman"/>
          <w:sz w:val="44"/>
          <w:szCs w:val="44"/>
        </w:rPr>
        <w:sectPr>
          <w:footerReference r:id="rId6" w:type="default"/>
          <w:pgSz w:w="11906" w:h="16838"/>
          <w:pgMar w:top="1984" w:right="1474" w:bottom="2098" w:left="1587" w:header="851" w:footer="992" w:gutter="0"/>
          <w:pgNumType w:fmt="decimal" w:start="1"/>
          <w:cols w:space="425" w:num="1"/>
          <w:docGrid w:type="lines" w:linePitch="312" w:charSpace="0"/>
        </w:sectPr>
      </w:pPr>
    </w:p>
    <w:p>
      <w:pPr>
        <w:pStyle w:val="19"/>
        <w:adjustRightInd w:val="0"/>
        <w:snapToGrid w:val="0"/>
        <w:spacing w:before="0" w:after="0" w:line="560" w:lineRule="exact"/>
        <w:rPr>
          <w:rFonts w:hint="default" w:ascii="Times New Roman" w:hAnsi="Times New Roman" w:eastAsia="方正仿宋简体" w:cs="Times New Roman"/>
          <w:sz w:val="44"/>
          <w:szCs w:val="44"/>
        </w:rPr>
      </w:pPr>
      <w:bookmarkStart w:id="1" w:name="_Toc2254"/>
      <w:r>
        <w:rPr>
          <w:rFonts w:hint="default" w:ascii="Times New Roman" w:hAnsi="Times New Roman" w:eastAsia="方正小标宋简体" w:cs="Times New Roman"/>
          <w:b w:val="0"/>
          <w:bCs w:val="0"/>
          <w:sz w:val="44"/>
          <w:szCs w:val="44"/>
        </w:rPr>
        <w:t>前 言</w:t>
      </w:r>
      <w:bookmarkEnd w:id="1"/>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习近平总书记考察云南期间，要求云南立足多样性资源这个独特基础，打好高原特色农业这张牌，着力推进现代农业建设。“十三五”期间，楚雄州委、</w:t>
      </w:r>
      <w:r>
        <w:rPr>
          <w:rFonts w:hint="default" w:ascii="Times New Roman" w:hAnsi="Times New Roman" w:eastAsia="方正仿宋简体" w:cs="Times New Roman"/>
          <w:sz w:val="32"/>
          <w:szCs w:val="32"/>
          <w:lang w:eastAsia="zh-CN"/>
        </w:rPr>
        <w:t>州</w:t>
      </w:r>
      <w:r>
        <w:rPr>
          <w:rFonts w:hint="default" w:ascii="Times New Roman" w:hAnsi="Times New Roman" w:eastAsia="方正仿宋简体" w:cs="Times New Roman"/>
          <w:sz w:val="32"/>
          <w:szCs w:val="32"/>
        </w:rPr>
        <w:t>政府立足多样性资源这个独特基础，大力发展高原特色农业。武定县作为农业大县，是发展高原特色农业最有优势的县之一，具备打造现代农业示范区的条件。</w:t>
      </w:r>
    </w:p>
    <w:p>
      <w:pPr>
        <w:adjustRightInd w:val="0"/>
        <w:snapToGrid w:val="0"/>
        <w:spacing w:line="560" w:lineRule="exact"/>
        <w:ind w:firstLine="640" w:firstLineChars="200"/>
        <w:rPr>
          <w:rFonts w:hint="default" w:ascii="Times New Roman" w:hAnsi="Times New Roman" w:eastAsia="方正仿宋简体" w:cs="Times New Roman"/>
          <w:sz w:val="32"/>
          <w:szCs w:val="32"/>
        </w:rPr>
        <w:sectPr>
          <w:footerReference r:id="rId7" w:type="default"/>
          <w:pgSz w:w="11906" w:h="16838"/>
          <w:pgMar w:top="2098" w:right="1474" w:bottom="1984" w:left="1587" w:header="851" w:footer="992" w:gutter="0"/>
          <w:pgNumType w:fmt="decimal" w:start="1"/>
          <w:cols w:space="425" w:num="1"/>
          <w:docGrid w:type="lines" w:linePitch="312" w:charSpace="0"/>
        </w:sectPr>
      </w:pPr>
      <w:r>
        <w:rPr>
          <w:rFonts w:hint="default" w:ascii="Times New Roman" w:hAnsi="Times New Roman" w:eastAsia="方正仿宋简体" w:cs="Times New Roman"/>
          <w:sz w:val="32"/>
          <w:szCs w:val="32"/>
        </w:rPr>
        <w:t>依据《云南省“十四五”打造世界一流“绿色食品牌”发展规划》《楚雄州“十四五”农业农村现代化发展规划》《中共楚雄州委</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楚雄州人民政府关于努力建设成为现代农业示范区的实施方案》《武定县国民经济和社会发展第十四个五年规划和二〇三五年远景目标纲要》等文件，编制《武定县“十四五”高原特色现代农业和绿色食品产业发展规划》（以下简称《规划》）。《规划》主要阐明武定县“十四五”期间高原特色现代农业和绿色食品产业的发展思路、目标、发展重点以及重大工程，是未来五年全县高原特色现代农业和绿色食品产业发展的指导性文件。规划期为2021－2025年。</w:t>
      </w:r>
    </w:p>
    <w:p>
      <w:pPr>
        <w:pStyle w:val="19"/>
        <w:adjustRightInd w:val="0"/>
        <w:snapToGrid w:val="0"/>
        <w:spacing w:before="0" w:after="0" w:line="560" w:lineRule="exact"/>
        <w:rPr>
          <w:rFonts w:hint="default" w:ascii="Times New Roman" w:hAnsi="Times New Roman" w:eastAsia="方正小标宋简体" w:cs="Times New Roman"/>
          <w:b w:val="0"/>
          <w:bCs w:val="0"/>
        </w:rPr>
      </w:pPr>
      <w:bookmarkStart w:id="2" w:name="_Toc116113290"/>
      <w:bookmarkStart w:id="3" w:name="_Toc29073"/>
      <w:r>
        <w:rPr>
          <w:rFonts w:hint="default" w:ascii="Times New Roman" w:hAnsi="Times New Roman" w:eastAsia="方正小标宋简体" w:cs="Times New Roman"/>
          <w:b w:val="0"/>
          <w:bCs w:val="0"/>
        </w:rPr>
        <w:t>第一章  发展基础和环境</w:t>
      </w:r>
      <w:bookmarkEnd w:id="2"/>
      <w:bookmarkEnd w:id="3"/>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4" w:name="_Toc6289"/>
      <w:bookmarkStart w:id="5" w:name="_Toc116113291"/>
      <w:r>
        <w:rPr>
          <w:rFonts w:hint="default" w:ascii="Times New Roman" w:hAnsi="Times New Roman" w:eastAsia="方正黑体简体" w:cs="Times New Roman"/>
          <w:b w:val="0"/>
          <w:bCs w:val="0"/>
        </w:rPr>
        <w:t>第一节  资源概况</w:t>
      </w:r>
      <w:bookmarkEnd w:id="4"/>
      <w:bookmarkEnd w:id="5"/>
    </w:p>
    <w:p>
      <w:pPr>
        <w:adjustRightInd w:val="0"/>
        <w:snapToGrid w:val="0"/>
        <w:spacing w:line="560" w:lineRule="exact"/>
        <w:ind w:firstLine="640" w:firstLineChars="200"/>
        <w:rPr>
          <w:rFonts w:hint="default" w:ascii="Times New Roman" w:hAnsi="Times New Roman" w:eastAsia="方正黑体简体" w:cs="Times New Roman"/>
          <w:sz w:val="32"/>
          <w:szCs w:val="32"/>
        </w:rPr>
      </w:pPr>
      <w:bookmarkStart w:id="6" w:name="_Toc24868"/>
      <w:r>
        <w:rPr>
          <w:rFonts w:hint="default" w:ascii="Times New Roman" w:hAnsi="Times New Roman" w:eastAsia="方正黑体简体" w:cs="Times New Roman"/>
          <w:sz w:val="32"/>
          <w:szCs w:val="32"/>
        </w:rPr>
        <w:t>一、国土资源</w:t>
      </w:r>
      <w:bookmarkEnd w:id="6"/>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武定县位于云南省中北部、楚雄彝族自治州东北部，东邻禄劝县，南与禄丰市、富民县毗邻，西与元谋县接壤，北与四川会理市隔金沙江相望。县域国土面积3322平方公里，山区面积占97%，全县海拔界于2956米与862米之间，全县大部分地区在2000米以下。东西方向上，受南北向断裂应力影响，在勐果河东侧自北向南形成白龙会山、卧璋山、大黑山、狮</w:t>
      </w:r>
      <w:r>
        <w:rPr>
          <w:rFonts w:hint="default" w:ascii="Times New Roman" w:hAnsi="Times New Roman" w:eastAsia="方正仿宋简体" w:cs="Times New Roman"/>
          <w:sz w:val="32"/>
          <w:szCs w:val="32"/>
          <w:lang w:eastAsia="zh-CN"/>
        </w:rPr>
        <w:t>子</w:t>
      </w:r>
      <w:r>
        <w:rPr>
          <w:rFonts w:hint="default" w:ascii="Times New Roman" w:hAnsi="Times New Roman" w:eastAsia="方正仿宋简体" w:cs="Times New Roman"/>
          <w:sz w:val="32"/>
          <w:szCs w:val="32"/>
        </w:rPr>
        <w:t>山等一系列山峰；南北方向上，总体呈南高北低之势，以勐果河为轴自南向北依次递降。全县地势高差悬殊，包括四个地貌区：侵蚀性构造区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构造性侵蚀区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侵蚀堆积区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构造侵蚀溶蚀区。</w:t>
      </w:r>
      <w:bookmarkStart w:id="7" w:name="_Toc27234"/>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二、土壤类型</w:t>
      </w:r>
      <w:bookmarkEnd w:id="7"/>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据武定县第二次土壤普查结果，县境内有棕壤、黄棕壤、红壤、燥红土、紫色土、石灰岩土、冲积土和水稻土8个土类、14个亚类、26个土属、62个耕作土种。其中棕壤占土地面积的6.82%，黄棕壤占19.58%，红壤占20.51%，紫色土占42.2%，石灰岩土占0.44%，燥红土占0.62%，冲积土占0.25%，水稻土占3.39%。</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bookmarkStart w:id="8" w:name="_Toc4790"/>
      <w:r>
        <w:rPr>
          <w:rFonts w:hint="default" w:ascii="Times New Roman" w:hAnsi="Times New Roman" w:eastAsia="方正黑体简体" w:cs="Times New Roman"/>
          <w:sz w:val="32"/>
          <w:szCs w:val="32"/>
        </w:rPr>
        <w:t>三、耕地质量</w:t>
      </w:r>
      <w:bookmarkEnd w:id="8"/>
    </w:p>
    <w:p>
      <w:pPr>
        <w:adjustRightInd w:val="0"/>
        <w:snapToGrid w:val="0"/>
        <w:spacing w:line="560" w:lineRule="exact"/>
        <w:ind w:firstLine="640" w:firstLineChars="200"/>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方正仿宋简体" w:cs="Times New Roman"/>
          <w:sz w:val="32"/>
          <w:szCs w:val="32"/>
        </w:rPr>
        <w:t>武定县耕地质量等级调查评价面积为50666.12公顷（76.00万亩）。其中，一至三等地的高等级耕地面积为12275.90公顷（18.41万亩），占武定县评价耕地总面积的24.33%，主要分布在田心乡和插甸镇。地形部位以山间盆地和山地坡下为主，这部分耕地地势较为平坦，立地条件较好，基础地力好，农田基础设施配套完善，排灌保证率高，水、肥、气、热协调，宜耕期长，无明显障碍因素，土壤有效养分含量较丰富，施肥见效快，作物基本能高产稳产。这部分耕地应增施有机肥，保持水土，防止地力下降。四至六等的中等耕地面积为29673.48公顷（44.51万亩），占武定县耕地总面积的58.57%，主要分布在狮山镇和猫街镇。该部分耕地基础地力中等，主要分布在山地中下部等地形部位处，宜种性、可耕性一般，土地利用受到一定限制。土壤以酸性紫色土和潴育型水稻土为主，排灌能力一般，农田林网程度低。该等级地应加强治水改土，增加灌排配套设施，对坡度较平缓的地方进行坡改梯地或台地建设。七至十等的低等级耕地面积为8716.74公顷（13.08万亩），占武定县耕地总面积的17.20%，主要分布在猫街镇和万德镇。主要分布在山地中上部地形部位处，这部分耕地立地条件较差，基础地力较低。土壤以潴育型水稻土和黄红壤为主，大部分耕地灌溉困难，排水能力一般，农田基础设施不完善，农业生产有较大限制，对农作物选择性强。</w:t>
      </w:r>
    </w:p>
    <w:p>
      <w:pPr>
        <w:pStyle w:val="2"/>
        <w:rPr>
          <w:rFonts w:hint="default" w:ascii="Times New Roman" w:hAnsi="Times New Roman" w:cs="Times New Roman"/>
        </w:rPr>
      </w:pPr>
    </w:p>
    <w:p>
      <w:pPr>
        <w:pStyle w:val="2"/>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pStyle w:val="2"/>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pStyle w:val="2"/>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pPr>
      <w:r>
        <w:rPr>
          <w:rFonts w:hint="default" w:ascii="Times New Roman" w:hAnsi="Times New Roman" w:cs="Times New Roman"/>
          <w:b/>
          <w:sz w:val="28"/>
          <w:szCs w:val="28"/>
        </w:rPr>
        <w:drawing>
          <wp:anchor distT="0" distB="0" distL="0" distR="0" simplePos="0" relativeHeight="251662336" behindDoc="1" locked="0" layoutInCell="1" allowOverlap="1">
            <wp:simplePos x="0" y="0"/>
            <wp:positionH relativeFrom="column">
              <wp:posOffset>0</wp:posOffset>
            </wp:positionH>
            <wp:positionV relativeFrom="paragraph">
              <wp:posOffset>-7316470</wp:posOffset>
            </wp:positionV>
            <wp:extent cx="5697220" cy="7590155"/>
            <wp:effectExtent l="0" t="0" r="17780" b="1079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97220" cy="7590155"/>
                    </a:xfrm>
                    <a:prstGeom prst="rect">
                      <a:avLst/>
                    </a:prstGeom>
                    <a:noFill/>
                    <a:ln>
                      <a:noFill/>
                    </a:ln>
                  </pic:spPr>
                </pic:pic>
              </a:graphicData>
            </a:graphic>
          </wp:anchor>
        </w:drawing>
      </w:r>
    </w:p>
    <w:p>
      <w:pPr>
        <w:adjustRightInd w:val="0"/>
        <w:snapToGrid w:val="0"/>
        <w:spacing w:line="560" w:lineRule="exact"/>
        <w:jc w:val="center"/>
        <w:rPr>
          <w:rFonts w:hint="default" w:ascii="Times New Roman" w:hAnsi="Times New Roman" w:eastAsia="方正楷体简体" w:cs="Times New Roman"/>
          <w:sz w:val="32"/>
          <w:szCs w:val="32"/>
        </w:rPr>
      </w:pPr>
      <w:r>
        <w:rPr>
          <w:rFonts w:hint="default" w:ascii="Times New Roman" w:hAnsi="Times New Roman" w:eastAsia="方正楷体" w:cs="Times New Roman"/>
          <w:sz w:val="32"/>
          <w:szCs w:val="32"/>
        </w:rPr>
        <w:t>图1  武定县土地利用现状图</w:t>
      </w:r>
    </w:p>
    <w:p>
      <w:pPr>
        <w:pStyle w:val="27"/>
        <w:shd w:val="clear" w:color="auto" w:fill="auto"/>
        <w:adjustRightInd w:val="0"/>
        <w:snapToGrid w:val="0"/>
        <w:spacing w:after="0" w:line="560" w:lineRule="exact"/>
        <w:rPr>
          <w:rFonts w:hint="default" w:ascii="Times New Roman" w:hAnsi="Times New Roman" w:eastAsia="方正仿宋简体" w:cs="Times New Roman"/>
          <w:sz w:val="32"/>
          <w:szCs w:val="32"/>
        </w:rPr>
      </w:pPr>
      <w:r>
        <w:rPr>
          <w:rFonts w:hint="default" w:ascii="Times New Roman" w:hAnsi="Times New Roman" w:eastAsia="方正楷体" w:cs="Times New Roman"/>
          <w:spacing w:val="0"/>
          <w:kern w:val="2"/>
          <w:sz w:val="32"/>
          <w:szCs w:val="32"/>
        </w:rPr>
        <w:drawing>
          <wp:anchor distT="0" distB="0" distL="0" distR="0" simplePos="0" relativeHeight="251661312" behindDoc="0" locked="0" layoutInCell="1" allowOverlap="1">
            <wp:simplePos x="0" y="0"/>
            <wp:positionH relativeFrom="column">
              <wp:posOffset>153035</wp:posOffset>
            </wp:positionH>
            <wp:positionV relativeFrom="paragraph">
              <wp:posOffset>138430</wp:posOffset>
            </wp:positionV>
            <wp:extent cx="5381625" cy="2992755"/>
            <wp:effectExtent l="0" t="0" r="9525" b="1714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方正楷体" w:cs="Times New Roman"/>
          <w:spacing w:val="0"/>
          <w:kern w:val="2"/>
          <w:sz w:val="32"/>
          <w:szCs w:val="32"/>
        </w:rPr>
        <w:t xml:space="preserve">图2  </w:t>
      </w:r>
      <w:r>
        <w:rPr>
          <w:rFonts w:hint="default" w:ascii="Times New Roman" w:hAnsi="Times New Roman" w:eastAsia="方正楷体" w:cs="Times New Roman"/>
          <w:spacing w:val="0"/>
          <w:kern w:val="2"/>
          <w:sz w:val="32"/>
          <w:szCs w:val="32"/>
          <w:lang w:val="zh-CN"/>
        </w:rPr>
        <w:t>武定县不同质量等级耕地面积比例分布图</w:t>
      </w:r>
    </w:p>
    <w:p>
      <w:pPr>
        <w:pStyle w:val="19"/>
        <w:adjustRightInd w:val="0"/>
        <w:snapToGrid w:val="0"/>
        <w:spacing w:before="0" w:after="0" w:line="560" w:lineRule="exact"/>
        <w:ind w:firstLine="640" w:firstLineChars="200"/>
        <w:jc w:val="left"/>
        <w:outlineLvl w:val="9"/>
        <w:rPr>
          <w:rFonts w:hint="default" w:ascii="Times New Roman" w:hAnsi="Times New Roman" w:eastAsia="方正黑体简体" w:cs="Times New Roman"/>
          <w:b w:val="0"/>
          <w:bCs w:val="0"/>
        </w:rPr>
      </w:pPr>
      <w:bookmarkStart w:id="9" w:name="_Toc18117"/>
      <w:r>
        <w:rPr>
          <w:rFonts w:hint="default" w:ascii="Times New Roman" w:hAnsi="Times New Roman" w:eastAsia="方正黑体简体" w:cs="Times New Roman"/>
          <w:b w:val="0"/>
          <w:bCs w:val="0"/>
        </w:rPr>
        <w:t>四、气候条件</w:t>
      </w:r>
      <w:bookmarkEnd w:id="9"/>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武定县地处低纬高原，昆明准静止峰以西的乌蒙山西南坡，东南、西南暖湿气流与西北干冷气流的交汇区大背景中，属山地季风气候带，也是多雨区之一。气候温和，年均气温15.1℃，冬无严寒、夏无酷暑，气温日较差大（19℃），年较差小（13.2℃），极端最高气温34.5℃，极端最低气温－6.4℃，年积温5541.50℃，最热月在7月，平均气温20.70℃，最冷月在1月，平均气温7.4℃，无霜期约236天。蒸发量低（为降水量的2.18倍），干燥度小（1.2）。光热资源丰富，年平均日照数为2326.2小时。年降水量968.66毫米，相对湿度74%，湿季（5－10月）降水占年降水量的91.3%，降水强度小，降水有效性高。</w:t>
      </w:r>
    </w:p>
    <w:p>
      <w:pPr>
        <w:tabs>
          <w:tab w:val="right" w:pos="8845"/>
        </w:tabs>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方正黑体简体" w:cs="Times New Roman"/>
          <w:sz w:val="32"/>
          <w:szCs w:val="32"/>
        </w:rPr>
        <w:t>五、水资源</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武定县地处金沙江南侧，金沙江水系与红河水系的分水岭部位，以金沙江水系为主体，占全县面积的97.44%。主要为勐果河流域，自南向北纵贯猫街、高桥、插甸、东坡4个乡（镇）。另有小流域4片：南部的近城、九厂为普渡河；插甸的水城河；白路的岔河、小井河、鲁巧河；猫街镇的秧草地和七排属红河水系的星宿红河源。年产水量28.52亿立方米，多年平均地表径流总量为9.24亿立方米，境内浅层地下水年蕴藏量为2.52亿立方米。</w:t>
      </w:r>
    </w:p>
    <w:p>
      <w:pPr>
        <w:adjustRightInd w:val="0"/>
        <w:snapToGrid w:val="0"/>
        <w:spacing w:line="560" w:lineRule="exact"/>
        <w:ind w:firstLine="2880" w:firstLineChars="900"/>
        <w:rPr>
          <w:rFonts w:hint="default" w:ascii="Times New Roman" w:hAnsi="Times New Roman" w:eastAsia="方正楷体简体" w:cs="Times New Roman"/>
          <w:sz w:val="28"/>
          <w:szCs w:val="28"/>
        </w:rPr>
      </w:pPr>
      <w:r>
        <w:rPr>
          <w:rFonts w:hint="default" w:ascii="Times New Roman" w:hAnsi="Times New Roman" w:eastAsia="方正楷体简体" w:cs="Times New Roman"/>
          <w:sz w:val="32"/>
          <w:szCs w:val="32"/>
        </w:rPr>
        <w:drawing>
          <wp:anchor distT="0" distB="0" distL="114300" distR="114300" simplePos="0" relativeHeight="251660288" behindDoc="1" locked="0" layoutInCell="1" allowOverlap="1">
            <wp:simplePos x="0" y="0"/>
            <wp:positionH relativeFrom="column">
              <wp:posOffset>129540</wp:posOffset>
            </wp:positionH>
            <wp:positionV relativeFrom="paragraph">
              <wp:posOffset>20320</wp:posOffset>
            </wp:positionV>
            <wp:extent cx="5286375" cy="4585335"/>
            <wp:effectExtent l="0" t="0" r="9525"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86375" cy="4585335"/>
                    </a:xfrm>
                    <a:prstGeom prst="rect">
                      <a:avLst/>
                    </a:prstGeom>
                    <a:noFill/>
                    <a:ln>
                      <a:noFill/>
                    </a:ln>
                  </pic:spPr>
                </pic:pic>
              </a:graphicData>
            </a:graphic>
          </wp:anchor>
        </w:drawing>
      </w: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ind w:firstLine="2520" w:firstLineChars="900"/>
        <w:rPr>
          <w:rFonts w:hint="default" w:ascii="Times New Roman" w:hAnsi="Times New Roman" w:eastAsia="方正楷体简体" w:cs="Times New Roman"/>
          <w:sz w:val="28"/>
          <w:szCs w:val="28"/>
        </w:rPr>
      </w:pPr>
    </w:p>
    <w:p>
      <w:pPr>
        <w:adjustRightInd w:val="0"/>
        <w:snapToGrid w:val="0"/>
        <w:spacing w:line="560" w:lineRule="exact"/>
        <w:rPr>
          <w:rFonts w:hint="default" w:ascii="Times New Roman" w:hAnsi="Times New Roman" w:eastAsia="方正楷体简体" w:cs="Times New Roman"/>
          <w:sz w:val="28"/>
          <w:szCs w:val="28"/>
        </w:rPr>
      </w:pPr>
    </w:p>
    <w:p>
      <w:pPr>
        <w:adjustRightInd w:val="0"/>
        <w:snapToGrid w:val="0"/>
        <w:spacing w:line="560" w:lineRule="exact"/>
        <w:jc w:val="center"/>
        <w:rPr>
          <w:rFonts w:hint="default" w:ascii="Times New Roman" w:hAnsi="Times New Roman" w:eastAsia="方正黑体简体" w:cs="Times New Roman"/>
        </w:rPr>
      </w:pPr>
      <w:r>
        <w:rPr>
          <w:rFonts w:hint="default" w:ascii="Times New Roman" w:hAnsi="Times New Roman" w:eastAsia="方正楷体" w:cs="Times New Roman"/>
          <w:sz w:val="32"/>
          <w:szCs w:val="32"/>
        </w:rPr>
        <w:t>图3  武定县水系图</w:t>
      </w:r>
      <w:bookmarkStart w:id="10" w:name="_Toc116113292"/>
      <w:bookmarkStart w:id="11" w:name="_Toc30696"/>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r>
        <w:rPr>
          <w:rFonts w:hint="default" w:ascii="Times New Roman" w:hAnsi="Times New Roman" w:eastAsia="方正黑体简体" w:cs="Times New Roman"/>
          <w:b w:val="0"/>
          <w:bCs w:val="0"/>
        </w:rPr>
        <w:t>第二节  发展现状</w:t>
      </w:r>
      <w:bookmarkEnd w:id="10"/>
      <w:bookmarkEnd w:id="11"/>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三五”时期，县委县政府深入贯彻落实习近平总书记关于“三农”工作的重要论述和考察云南重要讲话精神，贯彻落实省委省政府打造世界一流“绿色食品牌”的决策部署，按照“稳粮、强畜、促特、兴果、融合”的思路，加快重点产业发展，强化主体培育、品牌建设、技术创新，高原特色现代农业和绿色食品制造业已成为武定县第一大支柱产业。2020年，全县农业增加值实现26.3亿元，农产品加工产值与农业总产值之比达1.01:1，农村常住居民可支配收入达1.19万元。</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一、“十三五”发展成效</w:t>
      </w:r>
      <w:bookmarkStart w:id="12" w:name="_Toc116113293"/>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（一）特色农业发展量效齐增。</w:t>
      </w:r>
      <w:r>
        <w:rPr>
          <w:rFonts w:hint="default" w:ascii="Times New Roman" w:hAnsi="Times New Roman" w:eastAsia="方正仿宋简体" w:cs="Times New Roman"/>
          <w:sz w:val="32"/>
          <w:szCs w:val="32"/>
        </w:rPr>
        <w:t>2020年全县农林牧渔业产值达40.74亿元，较2015年增加12.24亿元，年均增长7.4%。其中种植业产值、畜牧业产值、渔业产值、农林牧渔服务业分别年均增长3.43%、7.25%、11.35%、9.25%。粮食连续5年增收，年产量保持在12.5万吨以上。以神农集团、福翔实业有限责任公司为依托，实现生猪存栏25.19万头，出栏36.73万头，能繁母猪存栏2.56万头。猪肉产量达3.19万吨，产值9.31亿元。全县存栏50头能繁母猪以上和生猪存栏200头以上的规模场（户）207个，规模养殖比例达37.73%。以云南首羽农业发展有限公司、云南杰祥畜禽养殖有限公司、武定县彝峰种鸡厂、武定臻骥农业科技开发有限公司等6家企业为依托，武定鸡存栏</w:t>
      </w:r>
      <w:bookmarkEnd w:id="12"/>
      <w:r>
        <w:rPr>
          <w:rFonts w:hint="default" w:ascii="Times New Roman" w:hAnsi="Times New Roman" w:eastAsia="方正仿宋简体" w:cs="Times New Roman"/>
          <w:sz w:val="32"/>
          <w:szCs w:val="32"/>
        </w:rPr>
        <w:t>142.99万羽，出栏356.92万羽，肉产量6066吨，产值2.99亿元。以昊盟、宏兴等龙头企业为依托，种植特色蔬菜15.43万亩，产量180423吨，产值9.09亿元。</w:t>
      </w:r>
    </w:p>
    <w:p>
      <w:pPr>
        <w:adjustRightInd w:val="0"/>
        <w:snapToGrid w:val="0"/>
        <w:spacing w:line="560" w:lineRule="exact"/>
        <w:ind w:firstLine="640" w:firstLineChars="200"/>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方正楷体" w:cs="Times New Roman"/>
          <w:sz w:val="32"/>
          <w:szCs w:val="32"/>
        </w:rPr>
        <w:t>（二）特色农业发展布局不断优化。</w:t>
      </w:r>
      <w:r>
        <w:rPr>
          <w:rFonts w:hint="default" w:ascii="Times New Roman" w:hAnsi="Times New Roman" w:eastAsia="方正仿宋简体" w:cs="Times New Roman"/>
          <w:sz w:val="32"/>
          <w:szCs w:val="32"/>
        </w:rPr>
        <w:t>沿京昆G5高速和国道108公路的狮山－高桥－猫街一线及其周边地区高效农业产业带逐步形成，该区域地势平坦，土地和水资源丰富，气候温和，交通条件好，是武定县粮、烟、菜、畜、花、果等主要农产品生产基地和加工基地。在田心－东坡－万德－己衣等乡镇沿金沙江干热河谷地区，依托金沙江低热河谷优越的光热条件，初步建成优质中稻和烤烟生产基地，香蕉、晚熟芒果等优质水果基地，红花、玫瑰茄生产基地，冬春特色蔬菜（茄果类、鲜食豆类、鲜食甜玉米、菜用马铃薯）基地和武定鸡、商品猪和肉牛养殖基地，结合畜牧业发展青贮玉米、饲料大麦和种草养畜。初步建成滇重楼、金铁锁、附子、续断、滇龙胆、黄草乌为主的中药材生产基地；初步建成以青豌豆、甘蓝为主的无公害蔬菜生产基地；以核桃为主的特色林果基地，以黑山羊为主的畜禽生态养殖基地。</w:t>
      </w:r>
    </w:p>
    <w:tbl>
      <w:tblPr>
        <w:tblStyle w:val="20"/>
        <w:tblW w:w="8740" w:type="dxa"/>
        <w:tblInd w:w="108" w:type="dxa"/>
        <w:tblLayout w:type="fixed"/>
        <w:tblCellMar>
          <w:top w:w="0" w:type="dxa"/>
          <w:left w:w="108" w:type="dxa"/>
          <w:bottom w:w="0" w:type="dxa"/>
          <w:right w:w="108" w:type="dxa"/>
        </w:tblCellMar>
      </w:tblPr>
      <w:tblGrid>
        <w:gridCol w:w="1039"/>
        <w:gridCol w:w="14"/>
        <w:gridCol w:w="889"/>
        <w:gridCol w:w="180"/>
        <w:gridCol w:w="1747"/>
        <w:gridCol w:w="50"/>
        <w:gridCol w:w="325"/>
        <w:gridCol w:w="921"/>
        <w:gridCol w:w="1201"/>
        <w:gridCol w:w="936"/>
        <w:gridCol w:w="1358"/>
        <w:gridCol w:w="40"/>
        <w:gridCol w:w="40"/>
      </w:tblGrid>
      <w:tr>
        <w:tblPrEx>
          <w:tblLayout w:type="fixed"/>
          <w:tblCellMar>
            <w:top w:w="0" w:type="dxa"/>
            <w:left w:w="108" w:type="dxa"/>
            <w:bottom w:w="0" w:type="dxa"/>
            <w:right w:w="108" w:type="dxa"/>
          </w:tblCellMar>
        </w:tblPrEx>
        <w:trPr>
          <w:trHeight w:val="605" w:hRule="atLeast"/>
        </w:trPr>
        <w:tc>
          <w:tcPr>
            <w:tcW w:w="8740" w:type="dxa"/>
            <w:gridSpan w:val="13"/>
            <w:tcBorders>
              <w:top w:val="nil"/>
              <w:left w:val="nil"/>
              <w:bottom w:val="single" w:color="auto" w:sz="4" w:space="0"/>
              <w:right w:val="nil"/>
            </w:tcBorders>
            <w:shd w:val="clear" w:color="000000" w:fill="FFFFFF"/>
            <w:vAlign w:val="center"/>
          </w:tcPr>
          <w:p>
            <w:pPr>
              <w:adjustRightInd w:val="0"/>
              <w:snapToGrid w:val="0"/>
              <w:spacing w:line="560" w:lineRule="exact"/>
              <w:jc w:val="center"/>
              <w:rPr>
                <w:rFonts w:hint="default" w:ascii="Times New Roman" w:hAnsi="Times New Roman" w:eastAsia="方正小标宋简体" w:cs="Times New Roman"/>
                <w:kern w:val="0"/>
                <w:sz w:val="28"/>
                <w:szCs w:val="28"/>
              </w:rPr>
            </w:pPr>
            <w:r>
              <w:rPr>
                <w:rFonts w:hint="default" w:ascii="Times New Roman" w:hAnsi="Times New Roman" w:eastAsia="方正小标宋简体" w:cs="Times New Roman"/>
                <w:kern w:val="0"/>
                <w:sz w:val="28"/>
                <w:szCs w:val="28"/>
              </w:rPr>
              <w:t>表1  武定县高原特色农业重点产业发展情况</w:t>
            </w:r>
          </w:p>
        </w:tc>
      </w:tr>
      <w:tr>
        <w:tblPrEx>
          <w:tblLayout w:type="fixed"/>
          <w:tblCellMar>
            <w:top w:w="0" w:type="dxa"/>
            <w:left w:w="108" w:type="dxa"/>
            <w:bottom w:w="0" w:type="dxa"/>
            <w:right w:w="108" w:type="dxa"/>
          </w:tblCellMar>
        </w:tblPrEx>
        <w:trPr>
          <w:trHeight w:val="369" w:hRule="atLeast"/>
        </w:trPr>
        <w:tc>
          <w:tcPr>
            <w:tcW w:w="1053" w:type="dxa"/>
            <w:gridSpan w:val="2"/>
            <w:vMerge w:val="restart"/>
            <w:tcBorders>
              <w:top w:val="nil"/>
              <w:left w:val="single" w:color="auto" w:sz="4" w:space="0"/>
              <w:bottom w:val="single" w:color="000000" w:sz="4" w:space="0"/>
              <w:right w:val="single" w:color="auto" w:sz="4" w:space="0"/>
              <w:tl2br w:val="single" w:color="auto" w:sz="4" w:space="0"/>
            </w:tcBorders>
            <w:shd w:val="clear" w:color="000000" w:fill="FFFFFF"/>
            <w:vAlign w:val="center"/>
          </w:tcPr>
          <w:p>
            <w:pPr>
              <w:adjustRightInd w:val="0"/>
              <w:snapToGrid w:val="0"/>
              <w:spacing w:line="300" w:lineRule="exact"/>
              <w:jc w:val="righ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产业</w:t>
            </w:r>
          </w:p>
          <w:p>
            <w:pPr>
              <w:adjustRightInd w:val="0"/>
              <w:snapToGrid w:val="0"/>
              <w:spacing w:line="300" w:lineRule="exact"/>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序号</w:t>
            </w:r>
          </w:p>
        </w:tc>
        <w:tc>
          <w:tcPr>
            <w:tcW w:w="889" w:type="dxa"/>
            <w:vMerge w:val="restart"/>
            <w:tcBorders>
              <w:top w:val="nil"/>
              <w:left w:val="single" w:color="auto" w:sz="4" w:space="0"/>
              <w:bottom w:val="single" w:color="000000" w:sz="4" w:space="0"/>
              <w:right w:val="single" w:color="auto" w:sz="4" w:space="0"/>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产业</w:t>
            </w:r>
          </w:p>
        </w:tc>
        <w:tc>
          <w:tcPr>
            <w:tcW w:w="3223" w:type="dxa"/>
            <w:gridSpan w:val="5"/>
            <w:tcBorders>
              <w:top w:val="single" w:color="auto" w:sz="4" w:space="0"/>
              <w:left w:val="nil"/>
              <w:bottom w:val="single" w:color="auto" w:sz="4" w:space="0"/>
              <w:right w:val="nil"/>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2015年</w:t>
            </w:r>
          </w:p>
        </w:tc>
        <w:tc>
          <w:tcPr>
            <w:tcW w:w="357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2020年</w:t>
            </w:r>
          </w:p>
        </w:tc>
      </w:tr>
      <w:tr>
        <w:tblPrEx>
          <w:tblLayout w:type="fixed"/>
          <w:tblCellMar>
            <w:top w:w="0" w:type="dxa"/>
            <w:left w:w="108" w:type="dxa"/>
            <w:bottom w:w="0" w:type="dxa"/>
            <w:right w:w="108" w:type="dxa"/>
          </w:tblCellMar>
        </w:tblPrEx>
        <w:trPr>
          <w:trHeight w:val="727" w:hRule="atLeast"/>
        </w:trPr>
        <w:tc>
          <w:tcPr>
            <w:tcW w:w="1053" w:type="dxa"/>
            <w:gridSpan w:val="2"/>
            <w:vMerge w:val="continue"/>
            <w:tcBorders>
              <w:top w:val="nil"/>
              <w:left w:val="single" w:color="auto" w:sz="4" w:space="0"/>
              <w:bottom w:val="single" w:color="000000" w:sz="4" w:space="0"/>
              <w:right w:val="single" w:color="auto" w:sz="4" w:space="0"/>
            </w:tcBorders>
            <w:vAlign w:val="center"/>
          </w:tcPr>
          <w:p>
            <w:pPr>
              <w:adjustRightInd w:val="0"/>
              <w:snapToGrid w:val="0"/>
              <w:spacing w:line="300" w:lineRule="exact"/>
              <w:jc w:val="left"/>
              <w:rPr>
                <w:rFonts w:hint="default" w:ascii="Times New Roman" w:hAnsi="Times New Roman" w:eastAsia="宋体" w:cs="Times New Roman"/>
                <w:b/>
                <w:bCs/>
                <w:kern w:val="0"/>
                <w:sz w:val="20"/>
                <w:szCs w:val="20"/>
              </w:rPr>
            </w:pPr>
          </w:p>
        </w:tc>
        <w:tc>
          <w:tcPr>
            <w:tcW w:w="889"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300" w:lineRule="exact"/>
              <w:jc w:val="left"/>
              <w:rPr>
                <w:rFonts w:hint="default" w:ascii="Times New Roman" w:hAnsi="Times New Roman" w:eastAsia="宋体" w:cs="Times New Roman"/>
                <w:b/>
                <w:bCs/>
                <w:kern w:val="0"/>
                <w:sz w:val="20"/>
                <w:szCs w:val="20"/>
              </w:rPr>
            </w:pPr>
          </w:p>
        </w:tc>
        <w:tc>
          <w:tcPr>
            <w:tcW w:w="1977" w:type="dxa"/>
            <w:gridSpan w:val="3"/>
            <w:tcBorders>
              <w:top w:val="nil"/>
              <w:left w:val="nil"/>
              <w:bottom w:val="nil"/>
              <w:right w:val="single" w:color="auto" w:sz="4" w:space="0"/>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产量</w:t>
            </w:r>
          </w:p>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（吨／万头／万枝）</w:t>
            </w:r>
          </w:p>
        </w:tc>
        <w:tc>
          <w:tcPr>
            <w:tcW w:w="1246" w:type="dxa"/>
            <w:gridSpan w:val="2"/>
            <w:tcBorders>
              <w:top w:val="nil"/>
              <w:left w:val="nil"/>
              <w:bottom w:val="single" w:color="auto" w:sz="4" w:space="0"/>
              <w:right w:val="nil"/>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农业产值</w:t>
            </w:r>
          </w:p>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（万元）</w:t>
            </w:r>
          </w:p>
        </w:tc>
        <w:tc>
          <w:tcPr>
            <w:tcW w:w="2137"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产量</w:t>
            </w:r>
          </w:p>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（吨／万头／万枝）</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农业产值</w:t>
            </w:r>
          </w:p>
          <w:p>
            <w:pPr>
              <w:adjustRightInd w:val="0"/>
              <w:snapToGrid w:val="0"/>
              <w:spacing w:line="3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（万元）</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粮食</w:t>
            </w:r>
          </w:p>
        </w:tc>
        <w:tc>
          <w:tcPr>
            <w:tcW w:w="1977" w:type="dxa"/>
            <w:gridSpan w:val="3"/>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110117</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27530</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113820</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39566</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蔬菜</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129122</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30083</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180252</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90915</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生猪</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43.85</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976978</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28.9</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93061</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肉牛</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4.794</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34799.46</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2.86</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31561</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肉羊</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16.11</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16351.65</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18.84</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20389</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肉鸡</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489.89</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35272.08</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413.59</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29891</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水果</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22619</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6791</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23927</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11842</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花卉</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35</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246</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621</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1960</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食用菌</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128</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113</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171</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180</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中药材</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1123</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1775</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1598</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21587</w:t>
            </w:r>
          </w:p>
        </w:tc>
      </w:tr>
      <w:tr>
        <w:tblPrEx>
          <w:tblLayout w:type="fixed"/>
          <w:tblCellMar>
            <w:top w:w="0" w:type="dxa"/>
            <w:left w:w="108" w:type="dxa"/>
            <w:bottom w:w="0" w:type="dxa"/>
            <w:right w:w="108" w:type="dxa"/>
          </w:tblCellMar>
        </w:tblPrEx>
        <w:trPr>
          <w:trHeight w:val="36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核桃</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937</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2722</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2046</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3032</w:t>
            </w:r>
          </w:p>
        </w:tc>
      </w:tr>
      <w:tr>
        <w:tblPrEx>
          <w:tblLayout w:type="fixed"/>
          <w:tblCellMar>
            <w:top w:w="0" w:type="dxa"/>
            <w:left w:w="108" w:type="dxa"/>
            <w:bottom w:w="0" w:type="dxa"/>
            <w:right w:w="108" w:type="dxa"/>
          </w:tblCellMar>
        </w:tblPrEx>
        <w:trPr>
          <w:trHeight w:val="379" w:hRule="atLeast"/>
        </w:trPr>
        <w:tc>
          <w:tcPr>
            <w:tcW w:w="1053"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889"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977"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246"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1132661.19</w:t>
            </w:r>
          </w:p>
        </w:tc>
        <w:tc>
          <w:tcPr>
            <w:tcW w:w="2137"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438"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343984</w:t>
            </w:r>
          </w:p>
        </w:tc>
      </w:tr>
      <w:tr>
        <w:tblPrEx>
          <w:tblLayout w:type="fixed"/>
          <w:tblCellMar>
            <w:top w:w="0" w:type="dxa"/>
            <w:left w:w="108" w:type="dxa"/>
            <w:bottom w:w="0" w:type="dxa"/>
            <w:right w:w="108" w:type="dxa"/>
          </w:tblCellMar>
        </w:tblPrEx>
        <w:trPr>
          <w:gridAfter w:val="2"/>
          <w:wAfter w:w="80" w:type="dxa"/>
          <w:trHeight w:val="445" w:hRule="atLeast"/>
        </w:trPr>
        <w:tc>
          <w:tcPr>
            <w:tcW w:w="8660" w:type="dxa"/>
            <w:gridSpan w:val="11"/>
            <w:tcBorders>
              <w:top w:val="nil"/>
              <w:left w:val="nil"/>
              <w:bottom w:val="single" w:color="auto" w:sz="4" w:space="0"/>
              <w:right w:val="nil"/>
            </w:tcBorders>
            <w:shd w:val="clear" w:color="000000" w:fill="FFFFFF"/>
            <w:vAlign w:val="center"/>
          </w:tcPr>
          <w:p>
            <w:pPr>
              <w:adjustRightInd w:val="0"/>
              <w:snapToGrid w:val="0"/>
              <w:spacing w:line="560" w:lineRule="exact"/>
              <w:jc w:val="center"/>
              <w:rPr>
                <w:rFonts w:hint="default" w:ascii="Times New Roman" w:hAnsi="Times New Roman" w:eastAsia="方正小标宋简体" w:cs="Times New Roman"/>
                <w:b/>
                <w:bCs/>
                <w:kern w:val="0"/>
                <w:sz w:val="28"/>
                <w:szCs w:val="28"/>
              </w:rPr>
            </w:pPr>
            <w:r>
              <w:rPr>
                <w:rFonts w:hint="default" w:ascii="Times New Roman" w:hAnsi="Times New Roman" w:eastAsia="方正小标宋简体" w:cs="Times New Roman"/>
                <w:kern w:val="0"/>
                <w:sz w:val="28"/>
                <w:szCs w:val="28"/>
              </w:rPr>
              <w:t>表２  武定县种养基地建成情况</w:t>
            </w:r>
          </w:p>
        </w:tc>
      </w:tr>
      <w:tr>
        <w:tblPrEx>
          <w:tblLayout w:type="fixed"/>
          <w:tblCellMar>
            <w:top w:w="0" w:type="dxa"/>
            <w:left w:w="108" w:type="dxa"/>
            <w:bottom w:w="0" w:type="dxa"/>
            <w:right w:w="108" w:type="dxa"/>
          </w:tblCellMar>
        </w:tblPrEx>
        <w:trPr>
          <w:gridAfter w:val="2"/>
          <w:wAfter w:w="80" w:type="dxa"/>
          <w:trHeight w:val="685" w:hRule="atLeast"/>
        </w:trPr>
        <w:tc>
          <w:tcPr>
            <w:tcW w:w="2122" w:type="dxa"/>
            <w:gridSpan w:val="4"/>
            <w:tcBorders>
              <w:top w:val="nil"/>
              <w:left w:val="single" w:color="auto" w:sz="4" w:space="0"/>
              <w:bottom w:val="nil"/>
              <w:right w:val="single" w:color="auto" w:sz="4" w:space="0"/>
              <w:tl2br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          产业</w:t>
            </w:r>
          </w:p>
          <w:p>
            <w:pPr>
              <w:adjustRightInd w:val="0"/>
              <w:snapToGrid w:val="0"/>
              <w:spacing w:line="400" w:lineRule="exact"/>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序号</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基地名称</w:t>
            </w:r>
          </w:p>
        </w:tc>
        <w:tc>
          <w:tcPr>
            <w:tcW w:w="2122" w:type="dxa"/>
            <w:gridSpan w:val="2"/>
            <w:tcBorders>
              <w:top w:val="nil"/>
              <w:left w:val="nil"/>
              <w:bottom w:val="single" w:color="auto" w:sz="4" w:space="0"/>
              <w:right w:val="nil"/>
            </w:tcBorders>
            <w:shd w:val="clear" w:color="000000" w:fill="FFFFFF"/>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数量（个）</w:t>
            </w:r>
          </w:p>
        </w:tc>
        <w:tc>
          <w:tcPr>
            <w:tcW w:w="2294" w:type="dxa"/>
            <w:gridSpan w:val="2"/>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规模基地数量</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生猪基地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104</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1000头以上16个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肉牛基地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1000头以上2个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蔬菜基地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1000亩以上5个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水果基地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1000亩以上5个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核桃基地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10000亩以上2个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肉鸡在地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10000羽以上6个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肉羊基地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61</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100只以上61个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中药材基地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1000亩以上5个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花卉基地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500亩以上2个</w:t>
            </w:r>
          </w:p>
        </w:tc>
      </w:tr>
      <w:tr>
        <w:tblPrEx>
          <w:tblLayout w:type="fixed"/>
          <w:tblCellMar>
            <w:top w:w="0" w:type="dxa"/>
            <w:left w:w="108" w:type="dxa"/>
            <w:bottom w:w="0" w:type="dxa"/>
            <w:right w:w="108" w:type="dxa"/>
          </w:tblCellMar>
        </w:tblPrEx>
        <w:trPr>
          <w:gridAfter w:val="2"/>
          <w:wAfter w:w="80" w:type="dxa"/>
          <w:trHeight w:val="372"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水产基地</w:t>
            </w: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26</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100亩以上26个</w:t>
            </w:r>
          </w:p>
        </w:tc>
      </w:tr>
      <w:tr>
        <w:tblPrEx>
          <w:tblLayout w:type="fixed"/>
          <w:tblCellMar>
            <w:top w:w="0" w:type="dxa"/>
            <w:left w:w="108" w:type="dxa"/>
            <w:bottom w:w="0" w:type="dxa"/>
            <w:right w:w="108" w:type="dxa"/>
          </w:tblCellMar>
        </w:tblPrEx>
        <w:trPr>
          <w:gridAfter w:val="2"/>
          <w:wAfter w:w="80" w:type="dxa"/>
          <w:trHeight w:val="383" w:hRule="atLeast"/>
        </w:trPr>
        <w:tc>
          <w:tcPr>
            <w:tcW w:w="2122" w:type="dxa"/>
            <w:gridSpan w:val="4"/>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2122" w:type="dxa"/>
            <w:gridSpan w:val="3"/>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p>
        </w:tc>
        <w:tc>
          <w:tcPr>
            <w:tcW w:w="2122"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266</w:t>
            </w:r>
          </w:p>
        </w:tc>
        <w:tc>
          <w:tcPr>
            <w:tcW w:w="2294" w:type="dxa"/>
            <w:gridSpan w:val="2"/>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p>
        </w:tc>
      </w:tr>
      <w:tr>
        <w:tblPrEx>
          <w:tblLayout w:type="fixed"/>
          <w:tblCellMar>
            <w:top w:w="0" w:type="dxa"/>
            <w:left w:w="108" w:type="dxa"/>
            <w:bottom w:w="0" w:type="dxa"/>
            <w:right w:w="108" w:type="dxa"/>
          </w:tblCellMar>
        </w:tblPrEx>
        <w:trPr>
          <w:gridAfter w:val="1"/>
          <w:wAfter w:w="40" w:type="dxa"/>
          <w:trHeight w:val="710" w:hRule="atLeast"/>
        </w:trPr>
        <w:tc>
          <w:tcPr>
            <w:tcW w:w="8700" w:type="dxa"/>
            <w:gridSpan w:val="12"/>
            <w:tcBorders>
              <w:top w:val="nil"/>
              <w:left w:val="nil"/>
              <w:bottom w:val="single" w:color="auto" w:sz="4" w:space="0"/>
              <w:right w:val="nil"/>
            </w:tcBorders>
            <w:shd w:val="clear" w:color="000000" w:fill="FFFFFF"/>
            <w:vAlign w:val="center"/>
          </w:tcPr>
          <w:p>
            <w:pPr>
              <w:adjustRightInd w:val="0"/>
              <w:snapToGrid w:val="0"/>
              <w:spacing w:line="400" w:lineRule="exact"/>
              <w:jc w:val="center"/>
              <w:rPr>
                <w:rFonts w:hint="default" w:ascii="Times New Roman" w:hAnsi="Times New Roman" w:eastAsia="方正小标宋简体" w:cs="Times New Roman"/>
                <w:b/>
                <w:bCs/>
                <w:kern w:val="0"/>
                <w:sz w:val="28"/>
                <w:szCs w:val="28"/>
              </w:rPr>
            </w:pPr>
            <w:r>
              <w:rPr>
                <w:rFonts w:hint="default" w:ascii="Times New Roman" w:hAnsi="Times New Roman" w:eastAsia="方正小标宋简体" w:cs="Times New Roman"/>
                <w:kern w:val="0"/>
                <w:sz w:val="28"/>
                <w:szCs w:val="28"/>
              </w:rPr>
              <w:t>表3  武定县农产品优势区分布情况</w:t>
            </w:r>
          </w:p>
        </w:tc>
      </w:tr>
      <w:tr>
        <w:tblPrEx>
          <w:tblLayout w:type="fixed"/>
          <w:tblCellMar>
            <w:top w:w="0" w:type="dxa"/>
            <w:left w:w="108" w:type="dxa"/>
            <w:bottom w:w="0" w:type="dxa"/>
            <w:right w:w="108" w:type="dxa"/>
          </w:tblCellMar>
        </w:tblPrEx>
        <w:trPr>
          <w:gridAfter w:val="1"/>
          <w:wAfter w:w="40" w:type="dxa"/>
          <w:trHeight w:val="804" w:hRule="atLeast"/>
        </w:trPr>
        <w:tc>
          <w:tcPr>
            <w:tcW w:w="1039" w:type="dxa"/>
            <w:tcBorders>
              <w:top w:val="nil"/>
              <w:left w:val="single" w:color="auto" w:sz="4" w:space="0"/>
              <w:bottom w:val="nil"/>
              <w:right w:val="single" w:color="auto" w:sz="4" w:space="0"/>
              <w:tl2br w:val="single" w:color="auto" w:sz="4" w:space="0"/>
            </w:tcBorders>
            <w:shd w:val="clear" w:color="000000" w:fill="FFFFFF"/>
            <w:vAlign w:val="center"/>
          </w:tcPr>
          <w:p>
            <w:pPr>
              <w:adjustRightInd w:val="0"/>
              <w:snapToGrid w:val="0"/>
              <w:spacing w:line="400" w:lineRule="exact"/>
              <w:ind w:firstLine="402" w:firstLineChars="200"/>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分布</w:t>
            </w:r>
          </w:p>
          <w:p>
            <w:pPr>
              <w:adjustRightInd w:val="0"/>
              <w:snapToGrid w:val="0"/>
              <w:spacing w:line="400" w:lineRule="exact"/>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序号</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农产品优势区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重点区域（乡、镇）</w:t>
            </w:r>
          </w:p>
        </w:tc>
      </w:tr>
      <w:tr>
        <w:tblPrEx>
          <w:tblLayout w:type="fixed"/>
          <w:tblCellMar>
            <w:top w:w="0" w:type="dxa"/>
            <w:left w:w="108" w:type="dxa"/>
            <w:bottom w:w="0" w:type="dxa"/>
            <w:right w:w="108" w:type="dxa"/>
          </w:tblCellMar>
        </w:tblPrEx>
        <w:trPr>
          <w:gridAfter w:val="1"/>
          <w:wAfter w:w="40" w:type="dxa"/>
          <w:trHeight w:val="408" w:hRule="atLeast"/>
        </w:trPr>
        <w:tc>
          <w:tcPr>
            <w:tcW w:w="1039"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中海拔坝区优质粳稻产区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以狮山、田心、万德为主</w:t>
            </w:r>
          </w:p>
        </w:tc>
      </w:tr>
      <w:tr>
        <w:tblPrEx>
          <w:tblLayout w:type="fixed"/>
          <w:tblCellMar>
            <w:top w:w="0" w:type="dxa"/>
            <w:left w:w="108" w:type="dxa"/>
            <w:bottom w:w="0" w:type="dxa"/>
            <w:right w:w="108" w:type="dxa"/>
          </w:tblCellMar>
        </w:tblPrEx>
        <w:trPr>
          <w:gridAfter w:val="1"/>
          <w:wAfter w:w="40" w:type="dxa"/>
          <w:trHeight w:val="408" w:hRule="atLeast"/>
        </w:trPr>
        <w:tc>
          <w:tcPr>
            <w:tcW w:w="1039"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低热河谷果蔬产区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以己衣、万德、田心、东坡为主</w:t>
            </w:r>
          </w:p>
        </w:tc>
      </w:tr>
      <w:tr>
        <w:tblPrEx>
          <w:tblLayout w:type="fixed"/>
          <w:tblCellMar>
            <w:top w:w="0" w:type="dxa"/>
            <w:left w:w="108" w:type="dxa"/>
            <w:bottom w:w="0" w:type="dxa"/>
            <w:right w:w="108" w:type="dxa"/>
          </w:tblCellMar>
        </w:tblPrEx>
        <w:trPr>
          <w:gridAfter w:val="1"/>
          <w:wAfter w:w="40" w:type="dxa"/>
          <w:trHeight w:val="408" w:hRule="atLeast"/>
        </w:trPr>
        <w:tc>
          <w:tcPr>
            <w:tcW w:w="1039"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冷凉山区核桃产区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以环州、白路、发窝、插甸为主</w:t>
            </w:r>
          </w:p>
        </w:tc>
      </w:tr>
      <w:tr>
        <w:tblPrEx>
          <w:tblLayout w:type="fixed"/>
          <w:tblCellMar>
            <w:top w:w="0" w:type="dxa"/>
            <w:left w:w="108" w:type="dxa"/>
            <w:bottom w:w="0" w:type="dxa"/>
            <w:right w:w="108" w:type="dxa"/>
          </w:tblCellMar>
        </w:tblPrEx>
        <w:trPr>
          <w:gridAfter w:val="1"/>
          <w:wAfter w:w="40" w:type="dxa"/>
          <w:trHeight w:val="408" w:hRule="atLeast"/>
        </w:trPr>
        <w:tc>
          <w:tcPr>
            <w:tcW w:w="1039"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生猪产区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以狮山、高桥、猫街、插甸、田心为主</w:t>
            </w:r>
          </w:p>
        </w:tc>
      </w:tr>
      <w:tr>
        <w:tblPrEx>
          <w:tblLayout w:type="fixed"/>
          <w:tblCellMar>
            <w:top w:w="0" w:type="dxa"/>
            <w:left w:w="108" w:type="dxa"/>
            <w:bottom w:w="0" w:type="dxa"/>
            <w:right w:w="108" w:type="dxa"/>
          </w:tblCellMar>
        </w:tblPrEx>
        <w:trPr>
          <w:gridAfter w:val="1"/>
          <w:wAfter w:w="40" w:type="dxa"/>
          <w:trHeight w:val="492" w:hRule="atLeast"/>
        </w:trPr>
        <w:tc>
          <w:tcPr>
            <w:tcW w:w="1039"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肉牛、肉羊产区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以狮山、高桥、猫街、插甸、田心、己衣、万德为主</w:t>
            </w:r>
          </w:p>
        </w:tc>
      </w:tr>
      <w:tr>
        <w:tblPrEx>
          <w:tblLayout w:type="fixed"/>
          <w:tblCellMar>
            <w:top w:w="0" w:type="dxa"/>
            <w:left w:w="108" w:type="dxa"/>
            <w:bottom w:w="0" w:type="dxa"/>
            <w:right w:w="108" w:type="dxa"/>
          </w:tblCellMar>
        </w:tblPrEx>
        <w:trPr>
          <w:gridAfter w:val="1"/>
          <w:wAfter w:w="40" w:type="dxa"/>
          <w:trHeight w:val="408" w:hRule="atLeast"/>
        </w:trPr>
        <w:tc>
          <w:tcPr>
            <w:tcW w:w="1039"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2830" w:type="dxa"/>
            <w:gridSpan w:val="4"/>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肉鸡产区</w:t>
            </w:r>
          </w:p>
        </w:tc>
        <w:tc>
          <w:tcPr>
            <w:tcW w:w="4831" w:type="dxa"/>
            <w:gridSpan w:val="7"/>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以狮山、高桥、猫街、插甸为主</w:t>
            </w:r>
          </w:p>
        </w:tc>
      </w:tr>
      <w:tr>
        <w:tblPrEx>
          <w:tblLayout w:type="fixed"/>
          <w:tblCellMar>
            <w:top w:w="0" w:type="dxa"/>
            <w:left w:w="108" w:type="dxa"/>
            <w:bottom w:w="0" w:type="dxa"/>
            <w:right w:w="108" w:type="dxa"/>
          </w:tblCellMar>
        </w:tblPrEx>
        <w:trPr>
          <w:gridAfter w:val="1"/>
          <w:wAfter w:w="40" w:type="dxa"/>
          <w:trHeight w:val="408" w:hRule="atLeast"/>
        </w:trPr>
        <w:tc>
          <w:tcPr>
            <w:tcW w:w="1039"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283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食用菌主产区</w:t>
            </w:r>
          </w:p>
        </w:tc>
        <w:tc>
          <w:tcPr>
            <w:tcW w:w="483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以狮山、高桥为主</w:t>
            </w:r>
          </w:p>
        </w:tc>
      </w:tr>
      <w:tr>
        <w:tblPrEx>
          <w:tblLayout w:type="fixed"/>
          <w:tblCellMar>
            <w:top w:w="0" w:type="dxa"/>
            <w:left w:w="108" w:type="dxa"/>
            <w:bottom w:w="0" w:type="dxa"/>
            <w:right w:w="108" w:type="dxa"/>
          </w:tblCellMar>
        </w:tblPrEx>
        <w:trPr>
          <w:gridAfter w:val="1"/>
          <w:wAfter w:w="40" w:type="dxa"/>
          <w:trHeight w:val="619" w:hRule="atLeast"/>
        </w:trPr>
        <w:tc>
          <w:tcPr>
            <w:tcW w:w="1039"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283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淡水渔业和稻田养鱼产区</w:t>
            </w:r>
          </w:p>
        </w:tc>
        <w:tc>
          <w:tcPr>
            <w:tcW w:w="483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以狮山、田心、己衣、万德为主</w:t>
            </w:r>
          </w:p>
        </w:tc>
      </w:tr>
      <w:tr>
        <w:tblPrEx>
          <w:tblLayout w:type="fixed"/>
          <w:tblCellMar>
            <w:top w:w="0" w:type="dxa"/>
            <w:left w:w="108" w:type="dxa"/>
            <w:bottom w:w="0" w:type="dxa"/>
            <w:right w:w="108" w:type="dxa"/>
          </w:tblCellMar>
        </w:tblPrEx>
        <w:trPr>
          <w:gridAfter w:val="1"/>
          <w:wAfter w:w="40" w:type="dxa"/>
          <w:trHeight w:val="419" w:hRule="atLeast"/>
        </w:trPr>
        <w:tc>
          <w:tcPr>
            <w:tcW w:w="1039"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283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8个产区</w:t>
            </w:r>
          </w:p>
        </w:tc>
        <w:tc>
          <w:tcPr>
            <w:tcW w:w="483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p>
        </w:tc>
      </w:tr>
    </w:tbl>
    <w:p>
      <w:pPr>
        <w:adjustRightInd w:val="0"/>
        <w:snapToGrid w:val="0"/>
        <w:spacing w:line="560" w:lineRule="exact"/>
        <w:ind w:firstLine="640" w:firstLineChars="200"/>
        <w:rPr>
          <w:rFonts w:hint="default" w:ascii="Times New Roman" w:hAnsi="Times New Roman" w:eastAsia="方正仿宋简体" w:cs="Times New Roman"/>
          <w:sz w:val="32"/>
          <w:szCs w:val="32"/>
        </w:rPr>
      </w:pPr>
    </w:p>
    <w:p>
      <w:pPr>
        <w:pStyle w:val="2"/>
        <w:rPr>
          <w:rFonts w:hint="default" w:ascii="Times New Roman" w:hAnsi="Times New Roman" w:cs="Times New Roman"/>
        </w:rPr>
      </w:pPr>
    </w:p>
    <w:tbl>
      <w:tblPr>
        <w:tblStyle w:val="20"/>
        <w:tblW w:w="8800" w:type="dxa"/>
        <w:tblInd w:w="108" w:type="dxa"/>
        <w:tblLayout w:type="fixed"/>
        <w:tblCellMar>
          <w:top w:w="0" w:type="dxa"/>
          <w:left w:w="108" w:type="dxa"/>
          <w:bottom w:w="0" w:type="dxa"/>
          <w:right w:w="108" w:type="dxa"/>
        </w:tblCellMar>
      </w:tblPr>
      <w:tblGrid>
        <w:gridCol w:w="1871"/>
        <w:gridCol w:w="1871"/>
        <w:gridCol w:w="2528"/>
        <w:gridCol w:w="2530"/>
      </w:tblGrid>
      <w:tr>
        <w:tblPrEx>
          <w:tblLayout w:type="fixed"/>
          <w:tblCellMar>
            <w:top w:w="0" w:type="dxa"/>
            <w:left w:w="108" w:type="dxa"/>
            <w:bottom w:w="0" w:type="dxa"/>
            <w:right w:w="108" w:type="dxa"/>
          </w:tblCellMar>
        </w:tblPrEx>
        <w:trPr>
          <w:trHeight w:val="743" w:hRule="atLeast"/>
        </w:trPr>
        <w:tc>
          <w:tcPr>
            <w:tcW w:w="8800" w:type="dxa"/>
            <w:gridSpan w:val="4"/>
            <w:tcBorders>
              <w:top w:val="nil"/>
              <w:left w:val="nil"/>
              <w:bottom w:val="single" w:color="auto" w:sz="4" w:space="0"/>
              <w:right w:val="nil"/>
            </w:tcBorders>
            <w:shd w:val="clear" w:color="auto" w:fill="auto"/>
            <w:vAlign w:val="center"/>
          </w:tcPr>
          <w:p>
            <w:pPr>
              <w:adjustRightInd w:val="0"/>
              <w:snapToGrid w:val="0"/>
              <w:spacing w:line="560" w:lineRule="exact"/>
              <w:jc w:val="center"/>
              <w:rPr>
                <w:rFonts w:hint="default" w:ascii="Times New Roman" w:hAnsi="Times New Roman" w:eastAsia="方正小标宋简体" w:cs="Times New Roman"/>
                <w:b/>
                <w:bCs/>
                <w:kern w:val="0"/>
                <w:sz w:val="28"/>
                <w:szCs w:val="28"/>
              </w:rPr>
            </w:pPr>
            <w:r>
              <w:rPr>
                <w:rFonts w:hint="default" w:ascii="Times New Roman" w:hAnsi="Times New Roman" w:eastAsia="方正小标宋简体" w:cs="Times New Roman"/>
                <w:kern w:val="0"/>
                <w:sz w:val="28"/>
                <w:szCs w:val="28"/>
              </w:rPr>
              <w:t>表4  武定县“一县一业”发展情况</w:t>
            </w:r>
          </w:p>
        </w:tc>
      </w:tr>
      <w:tr>
        <w:tblPrEx>
          <w:tblLayout w:type="fixed"/>
          <w:tblCellMar>
            <w:top w:w="0" w:type="dxa"/>
            <w:left w:w="108" w:type="dxa"/>
            <w:bottom w:w="0" w:type="dxa"/>
            <w:right w:w="108" w:type="dxa"/>
          </w:tblCellMar>
        </w:tblPrEx>
        <w:trPr>
          <w:trHeight w:val="882" w:hRule="atLeast"/>
        </w:trPr>
        <w:tc>
          <w:tcPr>
            <w:tcW w:w="1871" w:type="dxa"/>
            <w:tcBorders>
              <w:top w:val="nil"/>
              <w:left w:val="single" w:color="auto" w:sz="4" w:space="0"/>
              <w:bottom w:val="single" w:color="auto" w:sz="4" w:space="0"/>
              <w:right w:val="single" w:color="auto" w:sz="4" w:space="0"/>
              <w:tl2br w:val="single" w:color="auto" w:sz="4" w:space="0"/>
            </w:tcBorders>
            <w:shd w:val="clear" w:color="auto" w:fill="auto"/>
            <w:vAlign w:val="center"/>
          </w:tcPr>
          <w:p>
            <w:pPr>
              <w:adjustRightInd w:val="0"/>
              <w:snapToGrid w:val="0"/>
              <w:spacing w:line="400" w:lineRule="exact"/>
              <w:ind w:firstLine="1205" w:firstLineChars="600"/>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产业</w:t>
            </w:r>
          </w:p>
          <w:p>
            <w:pPr>
              <w:adjustRightInd w:val="0"/>
              <w:snapToGrid w:val="0"/>
              <w:spacing w:line="400" w:lineRule="exact"/>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乡镇</w:t>
            </w:r>
          </w:p>
        </w:tc>
        <w:tc>
          <w:tcPr>
            <w:tcW w:w="1871"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ind w:firstLine="402" w:firstLineChars="200"/>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产业</w:t>
            </w:r>
          </w:p>
        </w:tc>
        <w:tc>
          <w:tcPr>
            <w:tcW w:w="2528"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新型经营主体</w:t>
            </w:r>
          </w:p>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（个）</w:t>
            </w:r>
          </w:p>
        </w:tc>
        <w:tc>
          <w:tcPr>
            <w:tcW w:w="253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年出栏武定鸡</w:t>
            </w:r>
          </w:p>
          <w:p>
            <w:pPr>
              <w:adjustRightInd w:val="0"/>
              <w:snapToGrid w:val="0"/>
              <w:spacing w:line="4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（万羽）</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狮山镇</w:t>
            </w:r>
          </w:p>
        </w:tc>
        <w:tc>
          <w:tcPr>
            <w:tcW w:w="1871"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38</w:t>
            </w:r>
          </w:p>
        </w:tc>
        <w:tc>
          <w:tcPr>
            <w:tcW w:w="253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51.17</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高桥镇</w:t>
            </w:r>
          </w:p>
        </w:tc>
        <w:tc>
          <w:tcPr>
            <w:tcW w:w="1871"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53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4.76</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猫街镇</w:t>
            </w:r>
          </w:p>
        </w:tc>
        <w:tc>
          <w:tcPr>
            <w:tcW w:w="1871"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253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5.48</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插甸镇</w:t>
            </w:r>
          </w:p>
        </w:tc>
        <w:tc>
          <w:tcPr>
            <w:tcW w:w="1871"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53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1.04</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万德镇</w:t>
            </w:r>
          </w:p>
        </w:tc>
        <w:tc>
          <w:tcPr>
            <w:tcW w:w="1871"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253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0.56</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环州乡</w:t>
            </w:r>
          </w:p>
        </w:tc>
        <w:tc>
          <w:tcPr>
            <w:tcW w:w="1871"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253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0.35</w:t>
            </w:r>
          </w:p>
        </w:tc>
      </w:tr>
      <w:tr>
        <w:tblPrEx>
          <w:tblLayout w:type="fixed"/>
          <w:tblCellMar>
            <w:top w:w="0" w:type="dxa"/>
            <w:left w:w="108" w:type="dxa"/>
            <w:bottom w:w="0" w:type="dxa"/>
            <w:right w:w="108" w:type="dxa"/>
          </w:tblCellMar>
        </w:tblPrEx>
        <w:trPr>
          <w:trHeight w:val="430" w:hRule="atLeast"/>
        </w:trPr>
        <w:tc>
          <w:tcPr>
            <w:tcW w:w="18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东坡乡</w:t>
            </w:r>
          </w:p>
        </w:tc>
        <w:tc>
          <w:tcPr>
            <w:tcW w:w="1871"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253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6.3</w:t>
            </w:r>
          </w:p>
        </w:tc>
      </w:tr>
      <w:tr>
        <w:tblPrEx>
          <w:tblLayout w:type="fixed"/>
          <w:tblCellMar>
            <w:top w:w="0" w:type="dxa"/>
            <w:left w:w="108" w:type="dxa"/>
            <w:bottom w:w="0" w:type="dxa"/>
            <w:right w:w="108" w:type="dxa"/>
          </w:tblCellMar>
        </w:tblPrEx>
        <w:trPr>
          <w:trHeight w:val="442" w:hRule="atLeast"/>
        </w:trPr>
        <w:tc>
          <w:tcPr>
            <w:tcW w:w="1871"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1871"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武定鸡</w:t>
            </w:r>
          </w:p>
        </w:tc>
        <w:tc>
          <w:tcPr>
            <w:tcW w:w="2528"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56</w:t>
            </w:r>
          </w:p>
        </w:tc>
        <w:tc>
          <w:tcPr>
            <w:tcW w:w="253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69.66</w:t>
            </w:r>
          </w:p>
        </w:tc>
      </w:tr>
    </w:tbl>
    <w:p>
      <w:pPr>
        <w:adjustRightInd w:val="0"/>
        <w:snapToGrid w:val="0"/>
        <w:spacing w:line="560" w:lineRule="exact"/>
        <w:ind w:firstLine="640" w:firstLineChars="200"/>
        <w:rPr>
          <w:rFonts w:hint="default" w:ascii="Times New Roman" w:hAnsi="Times New Roman" w:eastAsia="方正楷体简体" w:cs="Times New Roman"/>
          <w:sz w:val="32"/>
          <w:szCs w:val="32"/>
        </w:rPr>
        <w:sectPr>
          <w:pgSz w:w="11906" w:h="16838"/>
          <w:pgMar w:top="2098" w:right="1474" w:bottom="1984" w:left="1587" w:header="851" w:footer="992" w:gutter="0"/>
          <w:pgNumType w:fmt="decimal"/>
          <w:cols w:space="425" w:num="1"/>
          <w:docGrid w:type="lines" w:linePitch="312" w:charSpace="0"/>
        </w:sectPr>
      </w:pP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（三）农业品牌效应持续扩大。</w:t>
      </w:r>
      <w:r>
        <w:rPr>
          <w:rFonts w:hint="default" w:ascii="Times New Roman" w:hAnsi="Times New Roman" w:eastAsia="方正仿宋简体" w:cs="Times New Roman"/>
          <w:sz w:val="32"/>
          <w:szCs w:val="32"/>
        </w:rPr>
        <w:t>全县累计认证“三品一标”产品53个（其中：无公害农产品19个、绿色食品28个、农产品地理标志1个、有机产品5个），无公害农产品粮经作物产地认定面积达19.9万亩、蔬菜产地10.3万亩、果茶产地23.7万亩、水产品产地0.4万亩，畜禽产地规模96万头（羽）。全县拥有涉农商标95件，其中云南省著名商标2件，“三品一标”农产品质量认证累计达53个。电子商务实现了从无到有，武定鸡、山猪火腿、核桃、雪桃等产品开始在网上进行销售。</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（四）新型农业经营主体不断扩大。</w:t>
      </w:r>
      <w:r>
        <w:rPr>
          <w:rFonts w:hint="default" w:ascii="Times New Roman" w:hAnsi="Times New Roman" w:eastAsia="方正仿宋简体" w:cs="Times New Roman"/>
          <w:sz w:val="32"/>
          <w:szCs w:val="32"/>
        </w:rPr>
        <w:t>完成农产品加工总产值46.01亿元。累计培育省州级农业龙头企业35户（州级26户、省级9户），有销售收入亿元以上农业龙头企业3户。农民专业合作社677个（种植业251个，林业32个，养殖业347个，渔业12个，服务业26个，其他9个）。全县有从事武定鸡生产经营的省级龙头企业1家、州级龙头企业2家，有4家武定鸡养殖合作社受到省、州、县表彰奖励。一批适度规模养殖企业得到发展壮大，其中：全县拥有年出栏100羽以上武定鸡养殖户1232户，年出栏1000羽以上的养殖户115户。</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（五）一二三产融合新业态不断丰富。</w:t>
      </w:r>
      <w:r>
        <w:rPr>
          <w:rFonts w:hint="default" w:ascii="Times New Roman" w:hAnsi="Times New Roman" w:eastAsia="方正仿宋简体" w:cs="Times New Roman"/>
          <w:sz w:val="32"/>
          <w:szCs w:val="32"/>
        </w:rPr>
        <w:t>“十三五”期间，全县积极推进农业与旅游、文化、康养等产业融合发展，以㣧泽、昊盟公司基地为代表的蔬菜产业示范园，以大石房、马豆沟村为代表的“农业+旅游”“农业+文化”一二三产融合示范村、狮山村被农业农村部认定为“中国美丽休闲村”,农产品电子商务初具规模，社会化流通服务网建设全面推进，州县乡村四级物流服务网络逐步完善。</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（六）农业科技服务水平稳步提高。</w:t>
      </w:r>
      <w:r>
        <w:rPr>
          <w:rFonts w:hint="default" w:ascii="Times New Roman" w:hAnsi="Times New Roman" w:eastAsia="方正仿宋简体" w:cs="Times New Roman"/>
          <w:sz w:val="32"/>
          <w:szCs w:val="32"/>
        </w:rPr>
        <w:t>通过内引外联，与省农大、省农科院、州农科院等单位合作，建设玉米、水稻、豆类、中药材、武定鸡等良种试验和繁育基地，以专家工作站、科技特派员、产业专家团等形式，深度开展产学研一体化开发服务。组织县内企业参加南博会、农博会、北京和上海贫困地区农产品展销活动21场次，实现企业现场销售额107.58万元，推动农产品线上销售，年均销售1130.4万元，累计5652.1万元，比“十二五”年增长6.75倍。农业机械化率进一步提升，主要农作物耕种收综合机械化水平达52%，农业机械单机能耗年均降低1.5%，全县农机总动力达27.37万千瓦。</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二、存在的问题</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（一）农业产业化水平不高。</w:t>
      </w:r>
      <w:r>
        <w:rPr>
          <w:rFonts w:hint="default" w:ascii="Times New Roman" w:hAnsi="Times New Roman" w:eastAsia="方正仿宋简体" w:cs="Times New Roman"/>
          <w:sz w:val="32"/>
          <w:szCs w:val="32"/>
        </w:rPr>
        <w:t>农业产业全而不优、规模较小，“科技+生产+加工+销售”的全产业链仍未形成。食品加工技术创新能力薄弱，绿色食品生产多以农产品简单清洗、切割、包装的初级加工为主，精深加工产品匮乏，农产品加工产值与农业总产值之比仅为1.01:1，远低于全国2.4:1的平均水平。现有农民专业合作组织发展水平较低，抵御市场风险能力差，90%以上的农民专业合作组织仅能提供简单的技术、信息服务；农业龙头企业“小、散、弱”，可持续发展后劲不足；“小龙头”难以带动“大产业、大基地、多农户”，难于促进产业化发展。生产基地、产品加工、流通营销环节衔接不紧密，存在“短链”和“断链”。</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（二）农产品品牌影响力弱。</w:t>
      </w:r>
      <w:r>
        <w:rPr>
          <w:rFonts w:hint="default" w:ascii="Times New Roman" w:hAnsi="Times New Roman" w:eastAsia="方正仿宋简体" w:cs="Times New Roman"/>
          <w:sz w:val="32"/>
          <w:szCs w:val="32"/>
        </w:rPr>
        <w:t>对农产品品牌培育打造和宣传推广投入不足，“一村一品、一乡一特、一县一业”建设有待加强。品牌数量众多，但在全国叫得响的品牌不多，农产品整体形象打造不够，同类产品品牌多、品牌杂、品牌价值低，产业层次低，精细化、高端化、品牌化产品开发缓慢。产业集中度不高。</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（三）农产品市场化程度低。</w:t>
      </w:r>
      <w:r>
        <w:rPr>
          <w:rFonts w:hint="default" w:ascii="Times New Roman" w:hAnsi="Times New Roman" w:eastAsia="方正仿宋简体" w:cs="Times New Roman"/>
          <w:sz w:val="32"/>
          <w:szCs w:val="32"/>
        </w:rPr>
        <w:t>农产品生产基地、产品加工、流通营销环节衔接不紧密，缺乏集</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产、供、销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为一体的绿色食品流通龙头企业。电子商务起步晚，农产品冷链物流建设不足，线上线下产销对接的市场化建设较弱，农户与市场“最后一公里”尚未完全打通。农产品企业抱团开拓市场意识不强，中高端市场开拓单一，出口企业培育不够。</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（四）农业发展支撑要素较弱。</w:t>
      </w:r>
      <w:r>
        <w:rPr>
          <w:rFonts w:hint="default" w:ascii="Times New Roman" w:hAnsi="Times New Roman" w:eastAsia="方正仿宋简体" w:cs="Times New Roman"/>
          <w:sz w:val="32"/>
          <w:szCs w:val="32"/>
        </w:rPr>
        <w:t>农业科技人才服务支撑体系不完善，农业科研研发能力不强，自主核心技术成果少。农机普及应用率不高，主要农作物耕种收综合机械化率仅为52%，低于全国18.5个百分点。高标准农田建设不足，仅占耕地总面积的32.14%，低于全国7.4个百分点。区域性、季节性缺水问题突出，农业有效灌溉率仅27.4%，低于全国9.4个百分点，与农业现代化发展要求仍然存在较大差距。</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3" w:name="_Toc116113294"/>
      <w:bookmarkStart w:id="14" w:name="_Toc16189"/>
      <w:r>
        <w:rPr>
          <w:rFonts w:hint="default" w:ascii="Times New Roman" w:hAnsi="Times New Roman" w:eastAsia="方正黑体简体" w:cs="Times New Roman"/>
          <w:b w:val="0"/>
          <w:bCs w:val="0"/>
        </w:rPr>
        <w:t>第三节  机遇和挑战</w:t>
      </w:r>
      <w:bookmarkEnd w:id="13"/>
      <w:bookmarkEnd w:id="14"/>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“十四五”时期，站在新的历史起点上，武定县发展高原特色现代农业和绿色食品产业必须把握大势、研判形势、顺势而为、乘势而上。</w:t>
      </w:r>
      <w:bookmarkStart w:id="15" w:name="_Toc20726"/>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一、面临的机遇</w:t>
      </w:r>
      <w:bookmarkEnd w:id="15"/>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（一）政策红利叠加带来的机遇。</w:t>
      </w:r>
      <w:r>
        <w:rPr>
          <w:rFonts w:hint="default" w:ascii="Times New Roman" w:hAnsi="Times New Roman" w:eastAsia="方正仿宋简体" w:cs="Times New Roman"/>
          <w:sz w:val="32"/>
          <w:szCs w:val="32"/>
        </w:rPr>
        <w:t>党中央、国务院高度重视“三农”工作，特别是“十四五”时期，国家全面实施乡村振兴战略，推进巩固拓展脱贫攻坚成果同乡村振兴有效衔接，密集出台一系列兴农、支农、惠农的政策措施，特别是《中共中央国务院关于做好2022年全面推进乡村振兴重点工作的意见》指出要聚焦产业促进乡村发展，持续推进农村一二三产业融合发展，大力发展县域富民产业等，将为武定县冬早蔬菜、花卉、野生菌、冬繁制种、畜牧业等优势特色产业的发展带来机遇，为打造现代农业发展示范区提供有力支撑。</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（二）融入新发展格局带来的机遇。</w:t>
      </w:r>
      <w:r>
        <w:rPr>
          <w:rFonts w:hint="default" w:ascii="Times New Roman" w:hAnsi="Times New Roman" w:eastAsia="方正仿宋简体" w:cs="Times New Roman"/>
          <w:sz w:val="32"/>
          <w:szCs w:val="32"/>
        </w:rPr>
        <w:t>随着国家加快构建国内大循环为主体、国内国际双循环相互促进的新发展格局，国内市场不断扩大，内需大幅度提升、内需结构多重优化，将有利于武定县用好国际国内两个市场、两种资源，拓展国内外合作新空间，推动蔬菜、水果等优势农产品出口，进一步提升农产品竞争力。</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（三）全面推动农业现代化带来的机遇。</w:t>
      </w:r>
      <w:r>
        <w:rPr>
          <w:rFonts w:hint="default" w:ascii="Times New Roman" w:hAnsi="Times New Roman" w:eastAsia="方正仿宋简体" w:cs="Times New Roman"/>
          <w:sz w:val="32"/>
          <w:szCs w:val="32"/>
        </w:rPr>
        <w:t>“十四五”时期，全省按照产业化、规模化、标准化、品牌化的思路，全面启动农业现代化三年行动计划，抓实烟草、花卉、蔬菜、食用菌、水果、坚果、中药材、畜牧业等重点产业，提升规模化水平，突破农产品加工业，强化主体培育，推进一二三产业融合发展，精准提供政策支持，将有利于武定县发挥资源、生态、区位等优势，全产业链发展蔬菜、花卉、野生菌等优势产业，推进绿色食品制造业高质量发展。</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（四）“数字云南”建设带来的机遇。</w:t>
      </w:r>
      <w:r>
        <w:rPr>
          <w:rFonts w:hint="default" w:ascii="Times New Roman" w:hAnsi="Times New Roman" w:eastAsia="方正仿宋简体" w:cs="Times New Roman"/>
          <w:sz w:val="32"/>
          <w:szCs w:val="32"/>
        </w:rPr>
        <w:t>随着“数字云南”“数字楚雄”“数字武定”建设的不断加快，5G、物联网等新一代新型基础设施逐步完善，“互联网+农业”将加快应用到农业从产到销的各个环节，为加快智慧农业产业园、智慧农场建设，提升农业生产智能化、经营网络化、管理高效化、服务便捷化水平增添了新动力。</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二、面临的挑战</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（一）区域竞争加剧带来的挑战。</w:t>
      </w:r>
      <w:r>
        <w:rPr>
          <w:rFonts w:hint="default" w:ascii="Times New Roman" w:hAnsi="Times New Roman" w:eastAsia="方正仿宋简体" w:cs="Times New Roman"/>
          <w:sz w:val="32"/>
          <w:szCs w:val="32"/>
        </w:rPr>
        <w:t>武定县高原特色农业与绿色食品制造产业同周边县市不同程度的存在资源同质、产业同构等问题，随着周边地区发展高原特色现代农业和绿色食品产业的力度不断加大，地区间农产品销售、市场拓展、招商引资等方面面临的竞争压力日益增强。</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（二）农业转型发展任务艰巨。</w:t>
      </w:r>
      <w:r>
        <w:rPr>
          <w:rFonts w:hint="default" w:ascii="Times New Roman" w:hAnsi="Times New Roman" w:eastAsia="方正仿宋简体" w:cs="Times New Roman"/>
          <w:sz w:val="32"/>
          <w:szCs w:val="32"/>
        </w:rPr>
        <w:t>武定县农业生产方式依然相对粗放，耕地用养结合还不充分，农业面源污染和农产品质量安全问题增多，发展农业生产与保护生态环境对立的问题仍然存在。打好农业面源污染治理攻坚战，提升农业绿色发展能力，实现质量兴农、绿色兴农、科技兴农，是武定今后一时期需要应对的一大挑战。</w:t>
      </w:r>
    </w:p>
    <w:p>
      <w:pPr>
        <w:adjustRightInd w:val="0"/>
        <w:snapToGrid w:val="0"/>
        <w:spacing w:line="560" w:lineRule="exact"/>
        <w:ind w:firstLine="643" w:firstLineChars="200"/>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方正仿宋简体" w:cs="Times New Roman"/>
          <w:b/>
          <w:bCs/>
          <w:sz w:val="32"/>
          <w:szCs w:val="32"/>
        </w:rPr>
        <w:t>综合判断，</w:t>
      </w:r>
      <w:r>
        <w:rPr>
          <w:rFonts w:hint="default" w:ascii="Times New Roman" w:hAnsi="Times New Roman" w:eastAsia="方正仿宋简体" w:cs="Times New Roman"/>
          <w:sz w:val="32"/>
          <w:szCs w:val="32"/>
        </w:rPr>
        <w:t>“十四五”时期仍然是武定县高原特色现代农业和绿色食品产业大有可为的重要战略机遇期。武定县必须利用好国家、省、州关于“三农”工作决策部署和各项重大战略推进实施的机遇，立足新发展阶段，完整、准确、全面贯彻新发展理念，主动服务和融入新发展格局，准确把握自身优势和短板，抢抓机遇、扬长避短，力争高原特色现代农业和绿色食品产业走在全州前列、作出示范。</w:t>
      </w:r>
    </w:p>
    <w:p>
      <w:pPr>
        <w:pStyle w:val="19"/>
        <w:adjustRightInd w:val="0"/>
        <w:snapToGrid w:val="0"/>
        <w:spacing w:before="0" w:after="0" w:line="560" w:lineRule="exact"/>
        <w:rPr>
          <w:rFonts w:hint="default" w:ascii="Times New Roman" w:hAnsi="Times New Roman" w:eastAsia="方正小标宋简体" w:cs="Times New Roman"/>
          <w:b w:val="0"/>
          <w:bCs w:val="0"/>
        </w:rPr>
      </w:pPr>
      <w:bookmarkStart w:id="16" w:name="_Toc116113295"/>
      <w:bookmarkStart w:id="17" w:name="_Toc15570"/>
      <w:r>
        <w:rPr>
          <w:rFonts w:hint="default" w:ascii="Times New Roman" w:hAnsi="Times New Roman" w:eastAsia="方正小标宋简体" w:cs="Times New Roman"/>
          <w:b w:val="0"/>
          <w:bCs w:val="0"/>
        </w:rPr>
        <w:t>第二章  总体要求</w:t>
      </w:r>
      <w:bookmarkEnd w:id="16"/>
      <w:bookmarkEnd w:id="17"/>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8" w:name="_Toc19864"/>
      <w:bookmarkStart w:id="19" w:name="_Toc116113296"/>
      <w:r>
        <w:rPr>
          <w:rFonts w:hint="default" w:ascii="Times New Roman" w:hAnsi="Times New Roman" w:eastAsia="方正黑体简体" w:cs="Times New Roman"/>
          <w:b w:val="0"/>
          <w:bCs w:val="0"/>
        </w:rPr>
        <w:t>第一节  指导思想</w:t>
      </w:r>
      <w:bookmarkEnd w:id="18"/>
      <w:bookmarkEnd w:id="19"/>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以习近平新时代中国特色社会主义思想为指导，深入贯彻落实党的十九大</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十九届历次全会</w:t>
      </w:r>
      <w:r>
        <w:rPr>
          <w:rFonts w:hint="default" w:ascii="Times New Roman" w:hAnsi="Times New Roman" w:eastAsia="方正仿宋简体" w:cs="Times New Roman"/>
          <w:sz w:val="32"/>
          <w:szCs w:val="32"/>
          <w:lang w:eastAsia="zh-CN"/>
        </w:rPr>
        <w:t>和党的二十大精神及</w:t>
      </w:r>
      <w:r>
        <w:rPr>
          <w:rFonts w:hint="default" w:ascii="Times New Roman" w:hAnsi="Times New Roman" w:eastAsia="方正仿宋简体" w:cs="Times New Roman"/>
          <w:sz w:val="32"/>
          <w:szCs w:val="32"/>
        </w:rPr>
        <w:t>中央经济工作会议、中央农村工作会议精神，持续深入贯彻习近平总书记关于“三农”工作重要论述和考察云南重要讲话精神，坚持稳中求进工作总基调，坚持新发展理念，落实高质量发展和融入新发展格局要求，促进共同富裕，稳住农业基本盘，按照“大产业+新主体+新平台”发展思路，深入实施“一二三”行动，全力发展高端蔬菜、精品花卉、食用菌、畜牧业等重点产业，实施“十大工程”，健全现代农业产业体系、生产体系、经营体系，推进高原特色农业向绿色农业、精致农业、高效农业、智慧农业转型升级，提高高原特色现代农业质量效益和竞争力，全力建设现代农业示范区。</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20" w:name="_Toc116113297"/>
      <w:bookmarkStart w:id="21" w:name="_Toc14309"/>
      <w:r>
        <w:rPr>
          <w:rFonts w:hint="default" w:ascii="Times New Roman" w:hAnsi="Times New Roman" w:eastAsia="方正黑体简体" w:cs="Times New Roman"/>
          <w:b w:val="0"/>
          <w:bCs w:val="0"/>
        </w:rPr>
        <w:t>第二节  基本原则</w:t>
      </w:r>
      <w:bookmarkEnd w:id="20"/>
      <w:bookmarkEnd w:id="21"/>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生态优先，绿色发展。</w:t>
      </w:r>
      <w:r>
        <w:rPr>
          <w:rFonts w:hint="default" w:ascii="Times New Roman" w:hAnsi="Times New Roman" w:eastAsia="方正仿宋简体" w:cs="Times New Roman"/>
          <w:sz w:val="32"/>
          <w:szCs w:val="32"/>
        </w:rPr>
        <w:t>深入践行“绿水青山就是金山银山”理念，将绿色发展贯穿于农业发展全过程，推进产业结构调整，加强农业面源污染治理，推行绿色农业生产模式，走现代农业可持续发展的路子。</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优化布局，集群发展。</w:t>
      </w:r>
      <w:r>
        <w:rPr>
          <w:rFonts w:hint="default" w:ascii="Times New Roman" w:hAnsi="Times New Roman" w:eastAsia="方正仿宋简体" w:cs="Times New Roman"/>
          <w:sz w:val="32"/>
          <w:szCs w:val="32"/>
        </w:rPr>
        <w:t>科学把握区域差异，坚持宜粮则粮、宜菜则菜、宜果则果，优化农业发展空间，加强农业产业种植基地、加工基地建设，实现农业适度规模化和产业集群化发展。</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科技引领，创新发展。</w:t>
      </w:r>
      <w:r>
        <w:rPr>
          <w:rFonts w:hint="default" w:ascii="Times New Roman" w:hAnsi="Times New Roman" w:eastAsia="方正仿宋简体" w:cs="Times New Roman"/>
          <w:sz w:val="32"/>
          <w:szCs w:val="32"/>
        </w:rPr>
        <w:t>坚持以新品种、新技术研发和推广应用为重点，以深化农业科技创新体系为突破，以建设农业高新技术产业园、培育农业高新技术企业为平台，加快数字农业建设，加强农业科技创新。</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市场导向，开放发展。</w:t>
      </w:r>
      <w:r>
        <w:rPr>
          <w:rFonts w:hint="default" w:ascii="Times New Roman" w:hAnsi="Times New Roman" w:eastAsia="方正仿宋简体" w:cs="Times New Roman"/>
          <w:sz w:val="32"/>
          <w:szCs w:val="32"/>
        </w:rPr>
        <w:t>充分发挥市场在资源配置中的决定性作用，更好发挥政府作用，坚持“引进来、走出去”相结合，突出市场拓展、主体培育，着力破解农产品加工、产品销售不强的问题。</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创新业态，融合发展。</w:t>
      </w:r>
      <w:r>
        <w:rPr>
          <w:rFonts w:hint="default" w:ascii="Times New Roman" w:hAnsi="Times New Roman" w:eastAsia="方正仿宋简体" w:cs="Times New Roman"/>
          <w:sz w:val="32"/>
          <w:szCs w:val="32"/>
        </w:rPr>
        <w:t>围绕一二三产业融合发展导向，充分发挥地区资源优势，强化农业、农产品加工、文化旅游、林业、康养等产业的有机融合，积极发展全产业链模式，加快农业与现代产业要素跨界配置。</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22" w:name="_Toc116113298"/>
      <w:bookmarkStart w:id="23" w:name="_Toc5646"/>
      <w:r>
        <w:rPr>
          <w:rFonts w:hint="default" w:ascii="Times New Roman" w:hAnsi="Times New Roman" w:eastAsia="方正黑体简体" w:cs="Times New Roman"/>
          <w:b w:val="0"/>
          <w:bCs w:val="0"/>
        </w:rPr>
        <w:t>第三节  发展目标</w:t>
      </w:r>
      <w:bookmarkEnd w:id="22"/>
      <w:bookmarkEnd w:id="23"/>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到2025年，具有武定特点的现代农业产业体系、生产体系、经营体系基本形成，高原特色现代农业和绿色食品产业快速发展，基本建成生产轻简智能高效、产业体系健全发达、经营主体集中活跃、产品绿色安全高质、产业融合创新发展的现代农业示范区。</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农业产业化发展水平不断提升。</w:t>
      </w:r>
      <w:r>
        <w:rPr>
          <w:rFonts w:hint="default" w:ascii="Times New Roman" w:hAnsi="Times New Roman" w:eastAsia="方正仿宋简体" w:cs="Times New Roman"/>
          <w:sz w:val="32"/>
          <w:szCs w:val="32"/>
        </w:rPr>
        <w:t>高原特色现代农业和绿色食品产业全产业链产值突破140亿元；重点产业全产业链产值达100亿元以上；建成规模化高原特色现代农业和绿色食品产业基地30个以上，农业产业基地化率提高到30%；农业规模化建设取得新进展，农户入社率达40%以上；规模以上绿色食品加工企业数量和产值实现“双倍增”，农产品加工产值与农业总产值之比达1.6:1。</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农产品品牌打造取得新突破。</w:t>
      </w:r>
      <w:r>
        <w:rPr>
          <w:rFonts w:hint="default" w:ascii="Times New Roman" w:hAnsi="Times New Roman" w:eastAsia="方正仿宋简体" w:cs="Times New Roman"/>
          <w:sz w:val="32"/>
          <w:szCs w:val="32"/>
        </w:rPr>
        <w:t>主要农作物化肥、农药使用量保持负增长，农作物秸秆综合利用率达到90%以上，农膜回收率达到85%以上，畜禽养殖废弃物综合利用率达到85%以上。创建农产品区域公用品牌、企业品牌、产品品牌15个。</w:t>
      </w:r>
    </w:p>
    <w:p>
      <w:pPr>
        <w:pStyle w:val="2"/>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新型农业经营主体不断壮大。</w:t>
      </w:r>
      <w:r>
        <w:rPr>
          <w:rFonts w:hint="default" w:ascii="Times New Roman" w:hAnsi="Times New Roman" w:eastAsia="方正仿宋简体" w:cs="Times New Roman"/>
          <w:sz w:val="32"/>
          <w:szCs w:val="32"/>
        </w:rPr>
        <w:t>全县年产值在500万元以上的县级以上农业产业化龙头企业50户以上，力争实现年销售收入达20亿元，国家级龙头企业实现零突破。新培育3－5个中国名牌或中国驰名商标。家庭农场达到200个以上，农民专业合作社达到800个以上，80%农户加入农民专业合作社。新型职业农民达到5000人以上。</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农业生产能力不断增强。</w:t>
      </w:r>
      <w:r>
        <w:rPr>
          <w:rFonts w:hint="default" w:ascii="Times New Roman" w:hAnsi="Times New Roman" w:eastAsia="方正仿宋简体" w:cs="Times New Roman"/>
          <w:sz w:val="32"/>
          <w:szCs w:val="32"/>
        </w:rPr>
        <w:t>高标准农田建设水平不断提升，农田水利设施建设不断完善，农业科技创新发展取得新成效，产业基地设施化建设水平全面提升，数字农业加快发展，农业生产能力和生产水平不断增强。力争到2025年，在全县范围内改造建设中低产田地和高标准农田13.6万亩，累计建成高标准农田17万亩，高稳产农田地面积达到35万亩，农田耕地质量持续提升。农业科技进步贡献率达62%。</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到2035年，高原特色现代农业和绿色食品产业实现高端化、智能化、绿色化发展，产业基础高级化、产业链现代化水平明显提高，服务和融入国家、省重大战略更加有为，产业对内对外开放格局基本形成，全县农业现代化基本实现。</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24" w:name="_Toc2963"/>
      <w:bookmarkStart w:id="25" w:name="_Toc116113299"/>
      <w:r>
        <w:rPr>
          <w:rFonts w:hint="default" w:ascii="Times New Roman" w:hAnsi="Times New Roman" w:eastAsia="方正黑体简体" w:cs="Times New Roman"/>
          <w:b w:val="0"/>
          <w:bCs w:val="0"/>
        </w:rPr>
        <w:t>第四节  空间布局</w:t>
      </w:r>
      <w:bookmarkEnd w:id="24"/>
      <w:bookmarkEnd w:id="25"/>
    </w:p>
    <w:p>
      <w:pPr>
        <w:adjustRightInd w:val="0"/>
        <w:snapToGrid w:val="0"/>
        <w:spacing w:line="560" w:lineRule="exact"/>
        <w:ind w:firstLine="640" w:firstLineChars="200"/>
        <w:rPr>
          <w:rFonts w:hint="default" w:ascii="Times New Roman" w:hAnsi="Times New Roman" w:eastAsia="方正仿宋简体" w:cs="Times New Roman"/>
          <w:kern w:val="32"/>
          <w:sz w:val="32"/>
          <w:szCs w:val="32"/>
        </w:rPr>
      </w:pPr>
      <w:r>
        <w:rPr>
          <w:rFonts w:hint="default" w:ascii="Times New Roman" w:hAnsi="Times New Roman" w:eastAsia="方正仿宋简体" w:cs="Times New Roman"/>
          <w:kern w:val="32"/>
          <w:sz w:val="32"/>
          <w:szCs w:val="32"/>
        </w:rPr>
        <w:t>依托武定县“一江一河四区五山十五坝”光热水土优势，提升“一核牵引、两园示范、三区布局、四带联动”的高原特色现代农业和绿色食品产业布局。</w:t>
      </w:r>
    </w:p>
    <w:p>
      <w:pPr>
        <w:pBdr>
          <w:bottom w:val="single" w:color="FFFFFF" w:sz="4" w:space="27"/>
        </w:pBdr>
        <w:adjustRightInd w:val="0"/>
        <w:snapToGrid w:val="0"/>
        <w:spacing w:line="560" w:lineRule="exact"/>
        <w:ind w:firstLine="643"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“一核牵引”：打造县城</w:t>
      </w:r>
      <w:bookmarkStart w:id="26" w:name="OLE_LINK12"/>
      <w:r>
        <w:rPr>
          <w:rFonts w:hint="default" w:ascii="Times New Roman" w:hAnsi="Times New Roman" w:eastAsia="方正仿宋简体" w:cs="Times New Roman"/>
          <w:b/>
          <w:bCs/>
          <w:sz w:val="32"/>
          <w:szCs w:val="32"/>
        </w:rPr>
        <w:t>农业产业要素聚集</w:t>
      </w:r>
      <w:bookmarkEnd w:id="26"/>
      <w:r>
        <w:rPr>
          <w:rFonts w:hint="default" w:ascii="Times New Roman" w:hAnsi="Times New Roman" w:eastAsia="方正仿宋简体" w:cs="Times New Roman"/>
          <w:b/>
          <w:bCs/>
          <w:sz w:val="32"/>
          <w:szCs w:val="32"/>
        </w:rPr>
        <w:t>核。</w:t>
      </w:r>
      <w:bookmarkStart w:id="27" w:name="OLE_LINK11"/>
      <w:r>
        <w:rPr>
          <w:rFonts w:hint="default" w:ascii="Times New Roman" w:hAnsi="Times New Roman" w:eastAsia="方正仿宋简体" w:cs="Times New Roman"/>
          <w:sz w:val="32"/>
          <w:szCs w:val="32"/>
        </w:rPr>
        <w:t>充分发挥县城交通交汇贯通、物流要素齐全、龙头企业相对集中的优势，强化产业链、价值链、供应链和政策链、创新链、资金链、人才链“七链统筹”工作，为全县农业产业发展提供重要技术支撑、科技人才力量支撑、政策要素保障支撑，在县城区加快打造生产、加工、收储、物流、销售于一体的全产业链条，提升农业产业发展承载力、集聚力和竞争力。</w:t>
      </w:r>
      <w:bookmarkEnd w:id="27"/>
    </w:p>
    <w:p>
      <w:pPr>
        <w:pBdr>
          <w:bottom w:val="single" w:color="FFFFFF" w:sz="4" w:space="27"/>
        </w:pBdr>
        <w:adjustRightInd w:val="0"/>
        <w:snapToGrid w:val="0"/>
        <w:spacing w:line="560" w:lineRule="exact"/>
        <w:ind w:firstLine="643"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“两园示范”：打造高桥猫街高原特色现代农业示范园。</w:t>
      </w:r>
      <w:r>
        <w:rPr>
          <w:rFonts w:hint="default" w:ascii="Times New Roman" w:hAnsi="Times New Roman" w:eastAsia="方正仿宋简体" w:cs="Times New Roman"/>
          <w:sz w:val="32"/>
          <w:szCs w:val="32"/>
        </w:rPr>
        <w:t>立足区位优势和资源禀赋，依托云南昊盟科技有限公司，根据产业资源基础、市场需求、技术支撑、环境容量、新型经营主体带动能力和产业覆盖面等要素，引进一批上规模、前景好、效益佳、带动强的基地型、加工型、营销型、综合型农业“小巨人”，激活生产要素，科学合理配置优势资源，加快现代物流体系和农产品营销网络建设步伐，大力实施品牌战略，打造以高桥</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猫街高原特色蔬菜为基础的武定县高原特色现代农业示范园。</w:t>
      </w:r>
      <w:r>
        <w:rPr>
          <w:rFonts w:hint="default" w:ascii="Times New Roman" w:hAnsi="Times New Roman" w:eastAsia="方正仿宋简体" w:cs="Times New Roman"/>
          <w:b/>
          <w:bCs/>
          <w:sz w:val="32"/>
          <w:szCs w:val="32"/>
        </w:rPr>
        <w:t>打造县城东南绿色食品加工园。</w:t>
      </w:r>
      <w:r>
        <w:rPr>
          <w:rFonts w:hint="default" w:ascii="Times New Roman" w:hAnsi="Times New Roman" w:eastAsia="方正仿宋简体" w:cs="Times New Roman"/>
          <w:sz w:val="32"/>
          <w:szCs w:val="32"/>
        </w:rPr>
        <w:t>依托紧靠京昆高速、武易高速和108国道线的区位优势，以发展畜禽食品、果蔬等生鲜食品、天然药品、干果食品加工以及仓储物流为重点，着力打造融新型主体培育、精深产品加工、知名品牌创建、顺畅物流保障等多功能为一体的县域农业产业化核心区，提高产业集聚度，充分发挥辐射带动效应，使其成为引领全县农业产业化发展和经济转型升级的发动机。</w:t>
      </w:r>
    </w:p>
    <w:p>
      <w:pPr>
        <w:pBdr>
          <w:bottom w:val="single" w:color="FFFFFF" w:sz="4" w:space="27"/>
        </w:pBdr>
        <w:adjustRightInd w:val="0"/>
        <w:snapToGrid w:val="0"/>
        <w:spacing w:line="560" w:lineRule="exact"/>
        <w:ind w:firstLine="643" w:firstLineChars="200"/>
        <w:textAlignment w:val="baseline"/>
        <w:rPr>
          <w:rFonts w:hint="default" w:ascii="Times New Roman" w:hAnsi="Times New Roman" w:eastAsia="方正仿宋简体" w:cs="Times New Roman"/>
          <w:bCs/>
          <w:kern w:val="0"/>
          <w:sz w:val="32"/>
          <w:szCs w:val="32"/>
        </w:rPr>
      </w:pPr>
      <w:r>
        <w:rPr>
          <w:rFonts w:hint="default" w:ascii="Times New Roman" w:hAnsi="Times New Roman" w:eastAsia="方正仿宋简体" w:cs="Times New Roman"/>
          <w:b/>
          <w:bCs/>
          <w:sz w:val="32"/>
          <w:szCs w:val="32"/>
        </w:rPr>
        <w:t>“三区布局”：</w:t>
      </w:r>
      <w:r>
        <w:rPr>
          <w:rFonts w:hint="default" w:ascii="Times New Roman" w:hAnsi="Times New Roman" w:eastAsia="方正仿宋简体" w:cs="Times New Roman"/>
          <w:b/>
          <w:kern w:val="0"/>
          <w:sz w:val="32"/>
          <w:szCs w:val="32"/>
        </w:rPr>
        <w:t>海拔1450米以下金沙江勐果河低热河谷特色农业发展区。</w:t>
      </w:r>
      <w:r>
        <w:rPr>
          <w:rFonts w:hint="default" w:ascii="Times New Roman" w:hAnsi="Times New Roman" w:eastAsia="方正仿宋简体" w:cs="Times New Roman"/>
          <w:bCs/>
          <w:kern w:val="0"/>
          <w:sz w:val="32"/>
          <w:szCs w:val="32"/>
        </w:rPr>
        <w:t>主要包括</w:t>
      </w:r>
      <w:r>
        <w:rPr>
          <w:rFonts w:hint="default" w:ascii="Times New Roman" w:hAnsi="Times New Roman" w:eastAsia="方正仿宋简体" w:cs="Times New Roman"/>
          <w:bCs/>
          <w:kern w:val="0"/>
          <w:sz w:val="32"/>
          <w:szCs w:val="32"/>
          <w:lang w:val="zh-CN"/>
        </w:rPr>
        <w:t>田心乡</w:t>
      </w:r>
      <w:r>
        <w:rPr>
          <w:rFonts w:hint="default" w:ascii="Times New Roman" w:hAnsi="Times New Roman" w:eastAsia="方正仿宋简体" w:cs="Times New Roman"/>
          <w:bCs/>
          <w:kern w:val="0"/>
          <w:sz w:val="32"/>
          <w:szCs w:val="32"/>
        </w:rPr>
        <w:t>、东坡乡、</w:t>
      </w:r>
      <w:r>
        <w:rPr>
          <w:rFonts w:hint="default" w:ascii="Times New Roman" w:hAnsi="Times New Roman" w:eastAsia="方正仿宋简体" w:cs="Times New Roman"/>
          <w:bCs/>
          <w:kern w:val="0"/>
          <w:sz w:val="32"/>
          <w:szCs w:val="32"/>
          <w:lang w:val="zh-CN"/>
        </w:rPr>
        <w:t>己衣镇、万德镇金沙江沿岸及周边地区，</w:t>
      </w:r>
      <w:bookmarkStart w:id="28" w:name="OLE_LINK9"/>
      <w:r>
        <w:rPr>
          <w:rFonts w:hint="default" w:ascii="Times New Roman" w:hAnsi="Times New Roman" w:eastAsia="方正仿宋简体" w:cs="Times New Roman"/>
          <w:bCs/>
          <w:kern w:val="0"/>
          <w:sz w:val="32"/>
          <w:szCs w:val="32"/>
          <w:lang w:val="zh-CN"/>
        </w:rPr>
        <w:t>拥有</w:t>
      </w:r>
      <w:bookmarkEnd w:id="28"/>
      <w:r>
        <w:rPr>
          <w:rFonts w:hint="default" w:ascii="Times New Roman" w:hAnsi="Times New Roman" w:eastAsia="方正仿宋简体" w:cs="Times New Roman"/>
          <w:bCs/>
          <w:kern w:val="0"/>
          <w:sz w:val="32"/>
          <w:szCs w:val="32"/>
        </w:rPr>
        <w:t>11万亩左右农田地，具有充足的光热资源，主要布局优质粮豆、特色林果、畜禽养殖、构树产业，实现产业融合发展。</w:t>
      </w:r>
      <w:r>
        <w:rPr>
          <w:rFonts w:hint="default" w:ascii="Times New Roman" w:hAnsi="Times New Roman" w:eastAsia="方正仿宋简体" w:cs="Times New Roman"/>
          <w:b/>
          <w:kern w:val="0"/>
          <w:sz w:val="32"/>
          <w:szCs w:val="32"/>
        </w:rPr>
        <w:t>海拔1450米至1950米中海拔优势农业发展区。</w:t>
      </w:r>
      <w:r>
        <w:rPr>
          <w:rFonts w:hint="default" w:ascii="Times New Roman" w:hAnsi="Times New Roman" w:eastAsia="方正仿宋简体" w:cs="Times New Roman"/>
          <w:bCs/>
          <w:kern w:val="0"/>
          <w:sz w:val="32"/>
          <w:szCs w:val="32"/>
        </w:rPr>
        <w:t>包括全县各乡镇大部分地区，</w:t>
      </w:r>
      <w:r>
        <w:rPr>
          <w:rFonts w:hint="default" w:ascii="Times New Roman" w:hAnsi="Times New Roman" w:eastAsia="方正仿宋简体" w:cs="Times New Roman"/>
          <w:bCs/>
          <w:kern w:val="0"/>
          <w:sz w:val="32"/>
          <w:szCs w:val="32"/>
          <w:lang w:val="zh-CN"/>
        </w:rPr>
        <w:t>拥有</w:t>
      </w:r>
      <w:r>
        <w:rPr>
          <w:rFonts w:hint="default" w:ascii="Times New Roman" w:hAnsi="Times New Roman" w:eastAsia="方正仿宋简体" w:cs="Times New Roman"/>
          <w:bCs/>
          <w:kern w:val="0"/>
          <w:sz w:val="32"/>
          <w:szCs w:val="32"/>
        </w:rPr>
        <w:t>30万亩左右农田地，气候温和温润，适宜发展特色畜禽养殖、优质粮豆、特色林果、食用菌、现代烟草等产业，注重农旅结合，实现综合发展。</w:t>
      </w:r>
      <w:r>
        <w:rPr>
          <w:rFonts w:hint="default" w:ascii="Times New Roman" w:hAnsi="Times New Roman" w:eastAsia="方正仿宋简体" w:cs="Times New Roman"/>
          <w:b/>
          <w:kern w:val="0"/>
          <w:sz w:val="32"/>
          <w:szCs w:val="32"/>
        </w:rPr>
        <w:t>海拔1950米以上高山生态农业产业区。</w:t>
      </w:r>
      <w:r>
        <w:rPr>
          <w:rFonts w:hint="default" w:ascii="Times New Roman" w:hAnsi="Times New Roman" w:eastAsia="方正仿宋简体" w:cs="Times New Roman"/>
          <w:bCs/>
          <w:kern w:val="0"/>
          <w:sz w:val="32"/>
          <w:szCs w:val="32"/>
        </w:rPr>
        <w:t>主要包括己衣、万德、高桥石腊它片区和插甸、发窝、白路、环州、猫街大部分地区，</w:t>
      </w:r>
      <w:r>
        <w:rPr>
          <w:rFonts w:hint="default" w:ascii="Times New Roman" w:hAnsi="Times New Roman" w:eastAsia="方正仿宋简体" w:cs="Times New Roman"/>
          <w:bCs/>
          <w:kern w:val="0"/>
          <w:sz w:val="32"/>
          <w:szCs w:val="32"/>
          <w:lang w:val="zh-CN"/>
        </w:rPr>
        <w:t>拥有</w:t>
      </w:r>
      <w:r>
        <w:rPr>
          <w:rFonts w:hint="default" w:ascii="Times New Roman" w:hAnsi="Times New Roman" w:eastAsia="方正仿宋简体" w:cs="Times New Roman"/>
          <w:bCs/>
          <w:kern w:val="0"/>
          <w:sz w:val="32"/>
          <w:szCs w:val="32"/>
        </w:rPr>
        <w:t>13万亩左右农田地，气候冷凉、民族文化浓郁，适宜发展特色畜禽养殖、高山绿色蔬菜、中药材、优质粮豆、特色林果等产业，实现农林牧游协调发展。</w:t>
      </w:r>
    </w:p>
    <w:p>
      <w:pPr>
        <w:pBdr>
          <w:bottom w:val="single" w:color="FFFFFF" w:sz="4" w:space="27"/>
        </w:pBdr>
        <w:adjustRightInd w:val="0"/>
        <w:snapToGrid w:val="0"/>
        <w:spacing w:line="560" w:lineRule="exact"/>
        <w:ind w:firstLine="643" w:firstLineChars="200"/>
        <w:textAlignment w:val="baseline"/>
        <w:rPr>
          <w:rFonts w:hint="default" w:ascii="Times New Roman" w:hAnsi="Times New Roman" w:eastAsia="方正仿宋简体" w:cs="Times New Roman"/>
          <w:bCs/>
          <w:kern w:val="0"/>
          <w:sz w:val="32"/>
          <w:szCs w:val="32"/>
        </w:rPr>
      </w:pPr>
      <w:r>
        <w:rPr>
          <w:rFonts w:hint="default" w:ascii="Times New Roman" w:hAnsi="Times New Roman" w:eastAsia="方正仿宋简体" w:cs="Times New Roman"/>
          <w:b/>
          <w:bCs/>
          <w:sz w:val="32"/>
          <w:szCs w:val="32"/>
        </w:rPr>
        <w:t>“四带联动”：</w:t>
      </w:r>
      <w:bookmarkStart w:id="29" w:name="OLE_LINK4"/>
      <w:r>
        <w:rPr>
          <w:rFonts w:hint="default" w:ascii="Times New Roman" w:hAnsi="Times New Roman" w:eastAsia="方正仿宋简体" w:cs="Times New Roman"/>
          <w:b/>
          <w:bCs/>
          <w:sz w:val="32"/>
          <w:szCs w:val="32"/>
        </w:rPr>
        <w:t>南部高效农业产业带。</w:t>
      </w:r>
      <w:r>
        <w:rPr>
          <w:rFonts w:hint="default" w:ascii="Times New Roman" w:hAnsi="Times New Roman" w:eastAsia="方正仿宋简体" w:cs="Times New Roman"/>
          <w:bCs/>
          <w:kern w:val="0"/>
          <w:sz w:val="32"/>
          <w:szCs w:val="32"/>
        </w:rPr>
        <w:t>沿京G5昆武、永武高速和国道108公路的狮山－高桥－猫街沿线及其周边地区，全县50%以上的粮食、80%以上的板栗、近99%的油菜、30%以上的烤烟和40%以上的蔬菜、60%以上的生猪、鸡、黑山羊规模化种养殖在此区域。主要规划布局规模化、标准化、精品化的优质高效种养殖农业产业带，加快粮、烟、菜、畜、花、果等为主的农产品生产和精深加工。</w:t>
      </w:r>
      <w:r>
        <w:rPr>
          <w:rFonts w:hint="default" w:ascii="Times New Roman" w:hAnsi="Times New Roman" w:eastAsia="方正仿宋简体" w:cs="Times New Roman"/>
          <w:b/>
          <w:kern w:val="0"/>
          <w:sz w:val="32"/>
          <w:szCs w:val="32"/>
        </w:rPr>
        <w:t>北部热带特色农业产业带。</w:t>
      </w:r>
      <w:r>
        <w:rPr>
          <w:rFonts w:hint="default" w:ascii="Times New Roman" w:hAnsi="Times New Roman" w:eastAsia="方正仿宋简体" w:cs="Times New Roman"/>
          <w:bCs/>
          <w:kern w:val="0"/>
          <w:sz w:val="32"/>
          <w:szCs w:val="32"/>
        </w:rPr>
        <w:t>依托金沙江低热河谷优越的光热条件，在田心－东坡－万德－己衣沿金沙江干热河谷地区，大力发展柑橘、晚熟芒果、构树等特色农业产业。通过培育和扶持农业龙头企业、农民专业合作社等新型经营主体，全力建设金沙江流域特色农产品基地。</w:t>
      </w:r>
      <w:r>
        <w:rPr>
          <w:rFonts w:hint="default" w:ascii="Times New Roman" w:hAnsi="Times New Roman" w:eastAsia="方正仿宋简体" w:cs="Times New Roman"/>
          <w:b/>
          <w:kern w:val="0"/>
          <w:sz w:val="32"/>
          <w:szCs w:val="32"/>
        </w:rPr>
        <w:t>东北部农林牧游复合产业带。</w:t>
      </w:r>
      <w:r>
        <w:rPr>
          <w:rFonts w:hint="default" w:ascii="Times New Roman" w:hAnsi="Times New Roman" w:eastAsia="方正仿宋简体" w:cs="Times New Roman"/>
          <w:bCs/>
          <w:kern w:val="0"/>
          <w:sz w:val="32"/>
          <w:szCs w:val="32"/>
        </w:rPr>
        <w:t>主要包括发窝－插甸－己衣等乡镇，依托该区域森林资源丰富、优质林果业基础较好、饲草资源丰富的优势，以水城河、己衣大裂谷等旅游资源为载体，加快集观光农业、生态农业、民俗文化及以武定壮鸡、蜂蜜、杂粮、野生菌等“小新特精”和高端有机农产品为主的农林牧游产业综合发展。</w:t>
      </w:r>
      <w:r>
        <w:rPr>
          <w:rFonts w:hint="default" w:ascii="Times New Roman" w:hAnsi="Times New Roman" w:eastAsia="方正仿宋简体" w:cs="Times New Roman"/>
          <w:b/>
          <w:kern w:val="0"/>
          <w:sz w:val="32"/>
          <w:szCs w:val="32"/>
        </w:rPr>
        <w:t>西部冷凉特色农业产业带。</w:t>
      </w:r>
      <w:r>
        <w:rPr>
          <w:rFonts w:hint="default" w:ascii="Times New Roman" w:hAnsi="Times New Roman" w:eastAsia="方正仿宋简体" w:cs="Times New Roman"/>
          <w:bCs/>
          <w:kern w:val="0"/>
          <w:sz w:val="32"/>
          <w:szCs w:val="32"/>
        </w:rPr>
        <w:t>包括白路</w:t>
      </w:r>
      <w:r>
        <w:rPr>
          <w:rFonts w:hint="default" w:ascii="Times New Roman" w:hAnsi="Times New Roman" w:eastAsia="汉仪方隶简" w:cs="Times New Roman"/>
          <w:bCs/>
          <w:kern w:val="0"/>
          <w:sz w:val="32"/>
          <w:szCs w:val="32"/>
        </w:rPr>
        <w:t>－</w:t>
      </w:r>
      <w:r>
        <w:rPr>
          <w:rFonts w:hint="default" w:ascii="Times New Roman" w:hAnsi="Times New Roman" w:eastAsia="方正仿宋简体" w:cs="Times New Roman"/>
          <w:bCs/>
          <w:kern w:val="0"/>
          <w:sz w:val="32"/>
          <w:szCs w:val="32"/>
        </w:rPr>
        <w:t>环州2个乡镇，以云南白药集团中药材优质种源繁育有限责任公司为龙头，建设滇重楼、附子、续断、黄精等为主的中药材生产基地，以青豌豆、甘蓝为主的武定县绿色有机蔬菜生产基地，以核桃为主的特色林果基地，以武定壮鸡、黑山羊为主的畜禽生态养殖基地</w:t>
      </w:r>
      <w:bookmarkEnd w:id="29"/>
      <w:r>
        <w:rPr>
          <w:rFonts w:hint="default" w:ascii="Times New Roman" w:hAnsi="Times New Roman" w:eastAsia="方正仿宋简体" w:cs="Times New Roman"/>
          <w:bCs/>
          <w:kern w:val="0"/>
          <w:sz w:val="32"/>
          <w:szCs w:val="32"/>
        </w:rPr>
        <w:t>。</w:t>
      </w:r>
      <w:bookmarkStart w:id="30" w:name="_Toc116113300"/>
    </w:p>
    <w:p>
      <w:pPr>
        <w:pStyle w:val="2"/>
        <w:adjustRightInd w:val="0"/>
        <w:snapToGrid w:val="0"/>
        <w:spacing w:line="560" w:lineRule="exact"/>
        <w:rPr>
          <w:rFonts w:hint="default" w:ascii="Times New Roman" w:hAnsi="Times New Roman" w:eastAsia="方正仿宋简体" w:cs="Times New Roman"/>
          <w:bCs/>
          <w:kern w:val="0"/>
          <w:sz w:val="32"/>
          <w:szCs w:val="32"/>
        </w:rPr>
        <w:sectPr>
          <w:pgSz w:w="11906" w:h="16838"/>
          <w:pgMar w:top="2098" w:right="1474" w:bottom="1984" w:left="1587" w:header="851" w:footer="992" w:gutter="0"/>
          <w:pgNumType w:fmt="decimal"/>
          <w:cols w:space="425" w:num="1"/>
          <w:docGrid w:type="lines" w:linePitch="312" w:charSpace="0"/>
        </w:sectPr>
      </w:pPr>
    </w:p>
    <w:p>
      <w:pPr>
        <w:pStyle w:val="19"/>
        <w:adjustRightInd w:val="0"/>
        <w:snapToGrid w:val="0"/>
        <w:spacing w:before="0" w:after="0" w:line="560" w:lineRule="exact"/>
        <w:rPr>
          <w:rFonts w:hint="default" w:ascii="Times New Roman" w:hAnsi="Times New Roman" w:eastAsia="方正小标宋简体" w:cs="Times New Roman"/>
          <w:b w:val="0"/>
          <w:bCs w:val="0"/>
        </w:rPr>
      </w:pPr>
      <w:bookmarkStart w:id="31" w:name="_Toc1396"/>
      <w:r>
        <w:rPr>
          <w:rFonts w:hint="default" w:ascii="Times New Roman" w:hAnsi="Times New Roman" w:eastAsia="方正小标宋简体" w:cs="Times New Roman"/>
          <w:b w:val="0"/>
          <w:bCs w:val="0"/>
        </w:rPr>
        <w:t>第三章  全力打造“绿色食品牌</w:t>
      </w:r>
      <w:bookmarkEnd w:id="30"/>
      <w:bookmarkEnd w:id="31"/>
      <w:r>
        <w:rPr>
          <w:rFonts w:hint="default" w:ascii="Times New Roman" w:hAnsi="Times New Roman" w:eastAsia="方正小标宋简体" w:cs="Times New Roman"/>
          <w:b w:val="0"/>
          <w:bCs w:val="0"/>
        </w:rPr>
        <w:t>”</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以实施“一二三”行动为主线，突出“一大一小”（即牛和鸡），立足自身优势，建设优质肉牛生产基地，力争2025年全县肉牛存栏达30万头以上，出栏达15万头以上，肉牛产业综合产值达</w:t>
      </w:r>
      <w:r>
        <w:rPr>
          <w:rFonts w:hint="default"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rPr>
        <w:t>亿元以上；以武定肉鸡产业被列为“一县一业”示范创建县为契机，有效发挥38名科技特派团成员中4名“鸡专家”作用，采取种质提标、质量搭台、信息赋能、金融助力、市场介入等模式，坚持专班推进，力争通过持续不断的努力，把武定肉鸡打造成年出栏0.5亿羽以上、综合产值60亿元以上的支柱产业。强力推动打造“两端三化”示范样板，全力打造“绿色食品牌”。</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32" w:name="_Toc10544"/>
      <w:bookmarkStart w:id="33" w:name="_Toc116113301"/>
      <w:r>
        <w:rPr>
          <w:rFonts w:hint="default" w:ascii="Times New Roman" w:hAnsi="Times New Roman" w:eastAsia="方正黑体简体" w:cs="Times New Roman"/>
          <w:b w:val="0"/>
          <w:bCs w:val="0"/>
        </w:rPr>
        <w:t>第一节  培强做大“一县一业</w:t>
      </w:r>
      <w:bookmarkEnd w:id="32"/>
      <w:bookmarkEnd w:id="33"/>
      <w:r>
        <w:rPr>
          <w:rFonts w:hint="default" w:ascii="Times New Roman" w:hAnsi="Times New Roman" w:eastAsia="方正黑体简体" w:cs="Times New Roman"/>
          <w:b w:val="0"/>
          <w:bCs w:val="0"/>
        </w:rPr>
        <w:t>”</w:t>
      </w:r>
    </w:p>
    <w:p>
      <w:pPr>
        <w:adjustRightInd w:val="0"/>
        <w:snapToGrid w:val="0"/>
        <w:spacing w:line="560" w:lineRule="exact"/>
        <w:ind w:firstLine="640"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sz w:val="32"/>
          <w:szCs w:val="32"/>
        </w:rPr>
        <w:t>以养殖业为重点，着力打造“武定鸡”品牌，依托高山生态种养产业园建设，加快发展绿色食品制造业。创新融资方式，吸引更多金融资本、社会资本、民间资本投入产业发展，为各乡镇主导武定鸡产业发展提供有力支撑。抓实动态评估、绩效评价、奖优罚劣，形成优胜劣汰的良性竞争激励机制。</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34" w:name="_Toc116113302"/>
      <w:bookmarkStart w:id="35" w:name="_Toc26576"/>
      <w:r>
        <w:rPr>
          <w:rFonts w:hint="default" w:ascii="Times New Roman" w:hAnsi="Times New Roman" w:eastAsia="方正黑体简体" w:cs="Times New Roman"/>
          <w:b w:val="0"/>
          <w:bCs w:val="0"/>
        </w:rPr>
        <w:t>第二节  大力发展现代种业</w:t>
      </w:r>
      <w:bookmarkEnd w:id="34"/>
      <w:bookmarkEnd w:id="35"/>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深入实施种业振兴行动，加强种质资源保护利用，全面</w:t>
      </w:r>
    </w:p>
    <w:p>
      <w:pPr>
        <w:adjustRightInd w:val="0"/>
        <w:snapToGrid w:val="0"/>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增强种业自主创新能力和综合竞争力，打造现代种业基地。</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一、加强种质资源保护</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加快农业种质资源保种场（区、圃、库）建设，建立武定农业种质资源保护利用体系，确保武定鸡列入保护名录的资源得到有效保护。以武定鸡和中药材种质资源圃建设为重点，推进良种繁育基地建设。到2025年，引进和培育省级种业龙头企业1家，建成农作物繁种基地2万亩、林木种苗基地0.1万亩、种畜禽场10个，种业全产业链产值达5亿元以上。</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二、提升种业创新能力</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以云南省农业科学院、云南农业大学、楚雄州农业科学院等科研院校为依托，抓紧启动种业发展规划编制和出台实施意见，着力实施良种选育及引进试验示范工程。实施以武定壮鸡为重点的种质资源保护工程，</w:t>
      </w:r>
      <w:r>
        <w:rPr>
          <w:rFonts w:hint="default" w:ascii="Times New Roman" w:hAnsi="Times New Roman" w:eastAsia="方正仿宋简体" w:cs="Times New Roman"/>
          <w:sz w:val="32"/>
          <w:szCs w:val="32"/>
          <w:lang w:val="en"/>
        </w:rPr>
        <w:t>2021</w:t>
      </w:r>
      <w:r>
        <w:rPr>
          <w:rFonts w:hint="default" w:ascii="Times New Roman" w:hAnsi="Times New Roman" w:eastAsia="方正仿宋简体" w:cs="Times New Roman"/>
          <w:sz w:val="32"/>
          <w:szCs w:val="32"/>
        </w:rPr>
        <w:t>年完成现有农作物种质资源登记，到2025年，建成农业种质资源保护利用体系。实施创新能力提升工程，建设一批农作物新品种选育创新试验基地、种子选育专家工作站，培育引进一批优质高产和抗逆性强的自主知识产权的新品种。实施繁种基地建设工程，建设标准化、规模化、集约化为一体的农作物繁种基地。到2025年，实现全县水稻、玉米、马铃薯、麦类、豆类、油菜等主要农作物良种覆盖率保持在96%以上，生猪、肉牛、肉羊良种覆盖率分别达到94%、41%和34%以上，水产种苗自给率达到85%以上，主要造林树种良种使用率达到75%以上，商品化供种率达到60%以上。</w:t>
      </w:r>
      <w:bookmarkStart w:id="36" w:name="_Toc21669"/>
      <w:bookmarkStart w:id="37" w:name="_Toc116113303"/>
    </w:p>
    <w:p>
      <w:pPr>
        <w:adjustRightInd w:val="0"/>
        <w:snapToGrid w:val="0"/>
        <w:spacing w:line="560" w:lineRule="exact"/>
        <w:jc w:val="center"/>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第三节  推动农村电商发展</w:t>
      </w:r>
      <w:bookmarkEnd w:id="36"/>
      <w:bookmarkEnd w:id="37"/>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以创建电子商务示范县为引领，引进和培育一批涉农电商企业，加快发展农产品新零售模式，不断扩大农产品网络销售规模，加快推动农业电商发展。</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一、不断扩大农产品网络销售规模</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建立健全“线上+线下”新型市场体系，着力构建州县乡村四级联动、政企农三方互动的农村电商服务体系和营销物流配送体系。引进和培育一批基础扎实、模式先进、运行良好的涉农电商企业，鼓励加快发展生鲜农产品、特色乡村食品线下体验、网上直销相结合的农产品新零售模式。加强与知名电商平台合作，开发社区团购、直播带货、微商、会员制、个人定制等多种形式特色农产品营销促销平台和模式。全面推广“一部手机云品荟”，以县级为主体，组织辖区内农业企业、农民合作社、供销合作社、种养大户等市场主体入驻“一部手机云品荟”平台。到2025年，全县电子商务网络交易额突破1亿元，网络零售额突破0.5亿元，农产品网络零售额达0.5亿元以上，年均增长15%以上。</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二、加大农产品网货开发力度</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鼓励创新高原特色农产品网上、网下“两联动”市场营销模式，积极衔接州级跨境电子商务服务综合试验区和“网上自贸区”线下平台武定县板块建设，加大农产品网货孵化培育扶持力度，积极推进农产品网货化、特色化、规模化、标准化、品牌化建设。引导企业主动适应消费者年轻化、小家庭和配送便捷的要求，开发适宜电商销售、运输便捷的“小包装”产品。深入推进农特产品分级包装、初深加工、品牌形象设计、商标注册等开发工作，将初级农产品和山货商品化、网货化，实现农产品向网销单品和品牌商品的转化，力争各乡镇培育网销农产品1个以上。开展农产品生产流通标准化建设，建立政府质量背书制度，推进农产品质量等级化、包装规格化、标识规范化，各乡镇完成1个以上农产品生产流通标准化建设。</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三、加强电商专业人才培育</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仿宋简体" w:cs="Times New Roman"/>
          <w:sz w:val="32"/>
          <w:szCs w:val="32"/>
        </w:rPr>
        <w:t>加强农村电商人才培育，提升电子商务进农村效果，开展电商专家下乡活动。加快建立农村电商人才培养载体及师资、标准、认证体系，开展线上线下相结合的多层次人才培训，培育一批本土农业产业电商领军人才。</w:t>
      </w:r>
    </w:p>
    <w:p>
      <w:pPr>
        <w:adjustRightInd w:val="0"/>
        <w:snapToGrid w:val="0"/>
        <w:spacing w:line="560" w:lineRule="exact"/>
        <w:jc w:val="center"/>
        <w:outlineLvl w:val="1"/>
        <w:rPr>
          <w:rFonts w:hint="default" w:ascii="Times New Roman" w:hAnsi="Times New Roman" w:eastAsia="方正黑体简体" w:cs="Times New Roman"/>
          <w:sz w:val="32"/>
          <w:szCs w:val="32"/>
        </w:rPr>
      </w:pPr>
      <w:bookmarkStart w:id="38" w:name="_Toc24953"/>
      <w:r>
        <w:rPr>
          <w:rFonts w:hint="default" w:ascii="Times New Roman" w:hAnsi="Times New Roman" w:eastAsia="方正黑体简体" w:cs="Times New Roman"/>
          <w:sz w:val="32"/>
          <w:szCs w:val="32"/>
        </w:rPr>
        <w:t>第四节  提升农业设施化水平</w:t>
      </w:r>
      <w:bookmarkEnd w:id="38"/>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方正仿宋简体" w:cs="Times New Roman"/>
          <w:sz w:val="32"/>
          <w:szCs w:val="32"/>
        </w:rPr>
        <w:t>加快发展设施农业，因地制宜发展塑料大棚、日光温室、连栋温室等设施。在保护生态环境的基础上，探索利用可开发的空闲地、废弃地发展设施农业。以设施化种养和机械化播种、管理、采收、分拣、加工等为重点，加强设施农业装备、农产品保鲜储藏及产后处理与精深加工机械化技术和装备的示范推广，改造一批设施老化、效率低能的生产设施装备，建设一批区域化、规模化、标准化设施农业生产基地。积极引进各种农业生产新设施、新机具、新装备，全面提升耕、种、收、烘干、冷链、初加工等农业先进机械装备水平，推动配套设施转型升级，提升农业基地设施化建设水平。培育壮大农机大户、专业户以及合作社等新型农机服务组织，提升农机化管理、推广、监理、鉴定和培训等服务能力，改善农机作业基础条件。到2025年，全县主要农作物耕种收综合机械化率达57%以上。</w:t>
      </w:r>
    </w:p>
    <w:p>
      <w:pPr>
        <w:adjustRightInd w:val="0"/>
        <w:snapToGrid w:val="0"/>
        <w:spacing w:line="560" w:lineRule="exact"/>
        <w:jc w:val="center"/>
        <w:outlineLvl w:val="1"/>
        <w:rPr>
          <w:rFonts w:hint="default" w:ascii="Times New Roman" w:hAnsi="Times New Roman" w:eastAsia="方正黑体简体" w:cs="Times New Roman"/>
          <w:sz w:val="32"/>
          <w:szCs w:val="32"/>
        </w:rPr>
      </w:pPr>
      <w:bookmarkStart w:id="39" w:name="_Toc6325"/>
      <w:r>
        <w:rPr>
          <w:rFonts w:hint="default" w:ascii="Times New Roman" w:hAnsi="Times New Roman" w:eastAsia="方正黑体简体" w:cs="Times New Roman"/>
          <w:sz w:val="32"/>
          <w:szCs w:val="32"/>
        </w:rPr>
        <w:t>第五节  推进农业有机化发展</w:t>
      </w:r>
      <w:bookmarkEnd w:id="39"/>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仿宋简体" w:cs="Times New Roman"/>
          <w:sz w:val="32"/>
          <w:szCs w:val="32"/>
        </w:rPr>
        <w:t>以创建“绿色食品”产业基地建设为重点，大力发展绿色有机生产基地。积极推进产地环境监测评价，划定以果、菜、菌、药、畜为主的有机产品保护区、绿色食品生产区和地理标志产品保护区，加大土地整理、耕地质量保护和有机质提升，推广有机生产技术，增加生物有机肥使用量，加大对土壤改良的支持力度，严格标准化生产技术规程操作，大力推广绿色化生产方式。健全标准体系和全过程追溯体系，不断完善武定绿色食品技术标准体系，加强食品安全检查。围绕特色产业、优势品种，划定范围、设定标准、形成方案，扎实推进绿色农产品、有机农产品、无公害农产品和地理标志农产品申报和认证工作。到2025年，全县农产品质量安全例行监测总体合格率达98%以上，不发生重大农产品质量安全事件。</w:t>
      </w:r>
    </w:p>
    <w:p>
      <w:pPr>
        <w:adjustRightInd w:val="0"/>
        <w:snapToGrid w:val="0"/>
        <w:spacing w:line="560" w:lineRule="exact"/>
        <w:jc w:val="center"/>
        <w:outlineLvl w:val="1"/>
        <w:rPr>
          <w:rFonts w:hint="default" w:ascii="Times New Roman" w:hAnsi="Times New Roman" w:eastAsia="方正黑体简体" w:cs="Times New Roman"/>
          <w:sz w:val="32"/>
          <w:szCs w:val="32"/>
        </w:rPr>
      </w:pPr>
      <w:bookmarkStart w:id="40" w:name="_Toc4807"/>
      <w:r>
        <w:rPr>
          <w:rFonts w:hint="default" w:ascii="Times New Roman" w:hAnsi="Times New Roman" w:eastAsia="方正黑体简体" w:cs="Times New Roman"/>
          <w:sz w:val="32"/>
          <w:szCs w:val="32"/>
        </w:rPr>
        <w:t>第六节  提升农业数字化水平</w:t>
      </w:r>
      <w:bookmarkEnd w:id="40"/>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构建数字乡村资源“云”，建立健全武定县农业农村数据采集体系，整合地理、环境、土壤、气象等资源信息，建设全县农业资源“一张图”。加快武定县智慧农业产业园建设，推进从田间到消费者全程数字化。提升农业装备智能化水平，推动农业物联网、水肥一体化、植保无人机等技术应用，提高农业科技信息服务水平，提供农产品价格生成与信息发布、订单农业、农资供需信息对接、专家远程指导等服务。到2025年，创建省级数字农业示范基地1个以上，主要农产品全产业链数字化覆盖率达30%以上。</w:t>
      </w:r>
      <w:bookmarkStart w:id="41" w:name="_Toc116113304"/>
    </w:p>
    <w:p>
      <w:pPr>
        <w:pStyle w:val="2"/>
        <w:adjustRightInd w:val="0"/>
        <w:snapToGrid w:val="0"/>
        <w:spacing w:line="560" w:lineRule="exact"/>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p>
    <w:p>
      <w:pPr>
        <w:pStyle w:val="19"/>
        <w:adjustRightInd w:val="0"/>
        <w:snapToGrid w:val="0"/>
        <w:spacing w:before="0" w:after="0" w:line="560" w:lineRule="exact"/>
        <w:rPr>
          <w:rFonts w:hint="default" w:ascii="Times New Roman" w:hAnsi="Times New Roman" w:eastAsia="方正小标宋简体" w:cs="Times New Roman"/>
        </w:rPr>
      </w:pPr>
      <w:bookmarkStart w:id="42" w:name="_Toc23158"/>
      <w:r>
        <w:rPr>
          <w:rFonts w:hint="default" w:ascii="Times New Roman" w:hAnsi="Times New Roman" w:eastAsia="方正小标宋简体" w:cs="Times New Roman"/>
          <w:b w:val="0"/>
          <w:bCs w:val="0"/>
        </w:rPr>
        <w:t>第四章  推动高原特色现代农业高质量发展</w:t>
      </w:r>
      <w:bookmarkEnd w:id="41"/>
      <w:bookmarkEnd w:id="42"/>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聚焦蔬菜、花卉、野生菌等重点产业，实施产业集群全产业链提升行动，以“一县一业”为抓手、“三化发展”为提升、“八有三档”为标准、“科研+生产+加工+销售”为模式，集中打造一批高端农产品基地，支撑武定县现代农业示范区建设。到2025年，农业增加值达20亿元。</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43" w:name="_Toc116113305"/>
      <w:bookmarkStart w:id="44" w:name="_Toc25129"/>
      <w:r>
        <w:rPr>
          <w:rFonts w:hint="default" w:ascii="Times New Roman" w:hAnsi="Times New Roman" w:eastAsia="方正黑体简体" w:cs="Times New Roman"/>
          <w:b w:val="0"/>
          <w:bCs w:val="0"/>
        </w:rPr>
        <w:t>第一节  稳定粮食供给保障</w:t>
      </w:r>
      <w:bookmarkEnd w:id="43"/>
      <w:bookmarkEnd w:id="44"/>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一、发展目标及布局</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严格落实粮食安全党政同责，稳定粮食播种面积、提高单产水平，加大优质粮食供给。以“两区”建设为抓手，以小麦、水稻、玉米、大豆为主要品种，筑牢粮食保供基础，不断优化粮食种植结构，推进粮食生产、加工向优势产区布局。到2025年，粮食播种面积稳定在40万亩以上，粮食综合生产能力稳定在12.6万吨以上。</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二、发展重点</w:t>
      </w:r>
    </w:p>
    <w:p>
      <w:pPr>
        <w:adjustRightInd w:val="0"/>
        <w:snapToGrid w:val="0"/>
        <w:spacing w:line="560" w:lineRule="exact"/>
        <w:ind w:firstLine="640"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楷体简体" w:cs="Times New Roman"/>
          <w:sz w:val="32"/>
          <w:szCs w:val="32"/>
        </w:rPr>
        <w:t>（一）稳步提升粮食产能。</w:t>
      </w:r>
      <w:r>
        <w:rPr>
          <w:rFonts w:hint="default" w:ascii="Times New Roman" w:hAnsi="Times New Roman" w:eastAsia="方正仿宋简体" w:cs="Times New Roman"/>
          <w:sz w:val="32"/>
          <w:szCs w:val="32"/>
        </w:rPr>
        <w:t>深入实施“藏粮于地、藏粮于技”战略，保证粮食供给安全。严守耕地红线，坚决遏制耕地“非农化”、基本农田“非粮化”。永久基本农田重点用于发展粮食生产，高标准农田原则上全部用于粮食生产。加强粮食生产功能区建设，以永久基本农田保护区、粮食生产功能区、重要农产品生产保护区为重点，强化农田水利配套建设，推进高标准农田建设，夯实粮食生产基础。落实国家粮食保护价政策。大力实施科技增粮措施，加大粮食作物新品种研发力度，积极研发高产、优质、抗逆、适应性广、适宜机械化耕作的粮食新品种。推进良种良法配套，推广精细播种、配方施肥、病虫害综合防治、杂交稻旱作等关键技术，全面提高粮食单产。大力推广种植“楚粳系列”水稻新品种，实施绿色高产高效科技增粮项目，打造优质高原粳稻基地。</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（二）强化政策支持。</w:t>
      </w:r>
      <w:r>
        <w:rPr>
          <w:rFonts w:hint="default" w:ascii="Times New Roman" w:hAnsi="Times New Roman" w:eastAsia="方正仿宋简体" w:cs="Times New Roman"/>
          <w:sz w:val="32"/>
          <w:szCs w:val="32"/>
        </w:rPr>
        <w:t>完善粮食生产支持政策，积极争取国家、省、州早稻生产等补贴，适时出台产粮大村、产粮大户和产粮先进的奖励措施，落实小麦稻谷最低收购价政策，着力保护和调动各级党委、政府重农抓粮、农民务农种粮的积极性。支持规模经营主体开展优质粮加工，配套收粮储粮设施，推进品牌营销，延伸产业链，强化粮食安全责任考核，严格落实粮食安全党政同责要求。开展节约粮食行动，反对食物浪费。</w:t>
      </w:r>
      <w:bookmarkStart w:id="45" w:name="_Toc28032"/>
      <w:bookmarkStart w:id="46" w:name="_Toc116113306"/>
    </w:p>
    <w:p>
      <w:pPr>
        <w:adjustRightInd w:val="0"/>
        <w:snapToGrid w:val="0"/>
        <w:spacing w:line="560" w:lineRule="exact"/>
        <w:jc w:val="center"/>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第二节  蔬菜产业</w:t>
      </w:r>
      <w:bookmarkEnd w:id="45"/>
      <w:bookmarkEnd w:id="46"/>
    </w:p>
    <w:p>
      <w:pPr>
        <w:adjustRightInd w:val="0"/>
        <w:snapToGrid w:val="0"/>
        <w:spacing w:line="560" w:lineRule="exact"/>
        <w:ind w:firstLine="640" w:firstLineChars="200"/>
        <w:jc w:val="left"/>
        <w:rPr>
          <w:rFonts w:hint="default" w:ascii="Times New Roman" w:hAnsi="Times New Roman" w:eastAsia="方正黑体简体" w:cs="Times New Roman"/>
          <w:sz w:val="32"/>
          <w:szCs w:val="32"/>
        </w:rPr>
      </w:pPr>
      <w:bookmarkStart w:id="47" w:name="_Toc26650"/>
      <w:r>
        <w:rPr>
          <w:rFonts w:hint="default" w:ascii="Times New Roman" w:hAnsi="Times New Roman" w:eastAsia="方正黑体简体" w:cs="Times New Roman"/>
          <w:sz w:val="32"/>
          <w:szCs w:val="32"/>
        </w:rPr>
        <w:t>一、发展目标及布局</w:t>
      </w:r>
      <w:bookmarkEnd w:id="47"/>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己衣、田心、东坡为重点发展冬春蔬菜；以猫街、高桥、插甸为重点发展夏秋蔬菜；以白路、发窝为重点发展高山蔬菜；以狮山镇、插甸镇为主发展魔芋。落实“菜篮子”县长负责制，大力发展有机蔬菜、保健蔬菜、小包装蔬菜，重点推进绿色基地、产地初加工、冷链物流、区域集散交易中心建设，打造面向国内外的“四季云菜”高品质供给基地，努力把武定打造为全省最大的高品质蔬菜生产基地之一。到2025年，发展蔬菜20万亩，产量30万吨以上，全产业链产值达25亿元以上，其中魔芋种植面积达1万亩，产值达1亿元以上。</w:t>
      </w:r>
      <w:bookmarkStart w:id="48" w:name="_Toc22174"/>
    </w:p>
    <w:p>
      <w:pPr>
        <w:adjustRightInd w:val="0"/>
        <w:snapToGrid w:val="0"/>
        <w:spacing w:line="560" w:lineRule="exact"/>
        <w:ind w:firstLine="640" w:firstLineChars="200"/>
        <w:rPr>
          <w:rFonts w:hint="default" w:ascii="Times New Roman" w:hAnsi="Times New Roman" w:eastAsia="方正黑体简体" w:cs="Times New Roman"/>
        </w:rPr>
      </w:pPr>
      <w:r>
        <w:rPr>
          <w:rFonts w:hint="default" w:ascii="Times New Roman" w:hAnsi="Times New Roman" w:eastAsia="方正黑体简体" w:cs="Times New Roman"/>
          <w:sz w:val="32"/>
          <w:szCs w:val="32"/>
        </w:rPr>
        <w:t>二、发展重点</w:t>
      </w:r>
      <w:bookmarkEnd w:id="48"/>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（一）抓实基地建设。</w:t>
      </w:r>
      <w:r>
        <w:rPr>
          <w:rFonts w:hint="default" w:ascii="Times New Roman" w:hAnsi="Times New Roman" w:eastAsia="方正仿宋简体" w:cs="Times New Roman"/>
          <w:sz w:val="32"/>
          <w:szCs w:val="32"/>
        </w:rPr>
        <w:t>提高蔬菜生产基地标准化水平，加快发展规模化种植基地，配套完善蔬菜生产基地田间排灌系统和管网设施，加快制定主要蔬菜标准化生产技术规范和绿色产品地方标准，集成推广集约化育苗、轻简化栽培和机械化生产技术。加快良种及商品魔芋基地建设，重点发展魔芋干片、魔芋精粉、魔芋面等高附加值的魔芋产品。到2025年，创建“绿色食品牌”省级基地1个、州级基地1个、县级基地2个。</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（二）健全市场体系。</w:t>
      </w:r>
      <w:r>
        <w:rPr>
          <w:rFonts w:hint="default" w:ascii="Times New Roman" w:hAnsi="Times New Roman" w:eastAsia="方正仿宋简体" w:cs="Times New Roman"/>
          <w:sz w:val="32"/>
          <w:szCs w:val="32"/>
        </w:rPr>
        <w:t>围绕“云菜”出滇，持续满足国内外主要消费市场，畅通从田头到餐桌的流通渠道，推动武定蔬菜快速、便捷走出去。结合区位优势，在猫街、高桥、插甸等蔬菜种植重点乡镇加快推进综合性交易中心建设，不断完善市场农资销售、产品储存、冷链物流、税务结算和信息服务等功能，实现蔬菜销售“一站式”服务。强化蔬菜生产、运输、销售过程的质量控制，不断提高蔬菜标准化生产水平和产品质量，有效提升市场形象。</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49" w:name="_Toc5002"/>
      <w:bookmarkStart w:id="50" w:name="_Toc116113307"/>
      <w:r>
        <w:rPr>
          <w:rFonts w:hint="default" w:ascii="Times New Roman" w:hAnsi="Times New Roman" w:eastAsia="方正黑体简体" w:cs="Times New Roman"/>
          <w:b w:val="0"/>
          <w:bCs w:val="0"/>
        </w:rPr>
        <w:t>第三节  花卉产业</w:t>
      </w:r>
      <w:bookmarkEnd w:id="49"/>
      <w:bookmarkEnd w:id="50"/>
    </w:p>
    <w:p>
      <w:pPr>
        <w:pStyle w:val="19"/>
        <w:adjustRightInd w:val="0"/>
        <w:snapToGrid w:val="0"/>
        <w:spacing w:before="0" w:after="0" w:line="560" w:lineRule="exact"/>
        <w:ind w:firstLine="640" w:firstLineChars="200"/>
        <w:jc w:val="left"/>
        <w:outlineLvl w:val="9"/>
        <w:rPr>
          <w:rFonts w:hint="default" w:ascii="Times New Roman" w:hAnsi="Times New Roman" w:eastAsia="方正黑体简体" w:cs="Times New Roman"/>
          <w:b w:val="0"/>
          <w:bCs w:val="0"/>
        </w:rPr>
      </w:pPr>
      <w:bookmarkStart w:id="51" w:name="_Toc6410"/>
      <w:r>
        <w:rPr>
          <w:rFonts w:hint="default" w:ascii="Times New Roman" w:hAnsi="Times New Roman" w:eastAsia="方正黑体简体" w:cs="Times New Roman"/>
          <w:b w:val="0"/>
          <w:bCs w:val="0"/>
        </w:rPr>
        <w:t>一、发展目标及布局</w:t>
      </w:r>
      <w:bookmarkEnd w:id="51"/>
    </w:p>
    <w:p>
      <w:pPr>
        <w:adjustRightInd w:val="0"/>
        <w:snapToGrid w:val="0"/>
        <w:spacing w:line="560"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sz w:val="32"/>
          <w:szCs w:val="32"/>
        </w:rPr>
        <w:t>利用“云花”品牌效应、昆明花拍中心产品交易便捷的优势</w:t>
      </w:r>
      <w:r>
        <w:rPr>
          <w:rFonts w:hint="default" w:ascii="Times New Roman" w:hAnsi="Times New Roman" w:eastAsia="方正仿宋简体" w:cs="Times New Roman"/>
          <w:kern w:val="0"/>
          <w:sz w:val="32"/>
          <w:szCs w:val="32"/>
        </w:rPr>
        <w:t>，落实创新、协调、绿色、开放、共享的发展理念，创建品牌花卉为核心</w:t>
      </w:r>
      <w:r>
        <w:rPr>
          <w:rFonts w:hint="default" w:ascii="Times New Roman" w:hAnsi="Times New Roman" w:cs="Times New Roman"/>
          <w:kern w:val="0"/>
          <w:sz w:val="32"/>
          <w:szCs w:val="32"/>
        </w:rPr>
        <w:t>，</w:t>
      </w:r>
      <w:r>
        <w:rPr>
          <w:rFonts w:hint="default" w:ascii="Times New Roman" w:hAnsi="Times New Roman" w:eastAsia="方正仿宋简体" w:cs="Times New Roman"/>
          <w:kern w:val="0"/>
          <w:sz w:val="32"/>
          <w:szCs w:val="32"/>
        </w:rPr>
        <w:t>创建新型现代化花卉生产、营销体系，突破多年来制约武定花卉产业发展的瓶颈，开拓面向全国范围内武定花卉产品的专业招商和推广渠道，以打造武定县高端品牌花卉为目标，加快培育武定县花卉的品牌影响力，快速提升品牌价值，依托云南珍特农业科技有限公司、昆明瀚翔农业技术服务有限公司等龙头企业，种植食用玫瑰、切花玫瑰、百合、非洲菊等特色花卉，力争到2025年，种植特色花卉1.5万亩以上，产值达7亿元以上。</w:t>
      </w:r>
      <w:bookmarkStart w:id="52" w:name="_Toc4786"/>
    </w:p>
    <w:p>
      <w:pPr>
        <w:adjustRightInd w:val="0"/>
        <w:snapToGrid w:val="0"/>
        <w:spacing w:line="560" w:lineRule="exact"/>
        <w:ind w:firstLine="640" w:firstLineChars="200"/>
        <w:rPr>
          <w:rFonts w:hint="default" w:ascii="Times New Roman" w:hAnsi="Times New Roman" w:eastAsia="方正黑体简体" w:cs="Times New Roman"/>
        </w:rPr>
      </w:pPr>
      <w:r>
        <w:rPr>
          <w:rFonts w:hint="default" w:ascii="Times New Roman" w:hAnsi="Times New Roman" w:eastAsia="方正黑体简体" w:cs="Times New Roman"/>
          <w:sz w:val="32"/>
          <w:szCs w:val="32"/>
        </w:rPr>
        <w:t>二、发展重点</w:t>
      </w:r>
      <w:bookmarkEnd w:id="52"/>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（一）坚持种业创新领跑。</w:t>
      </w:r>
      <w:r>
        <w:rPr>
          <w:rFonts w:hint="default" w:ascii="Times New Roman" w:hAnsi="Times New Roman" w:eastAsia="方正仿宋简体" w:cs="Times New Roman"/>
          <w:sz w:val="32"/>
          <w:szCs w:val="32"/>
        </w:rPr>
        <w:t>充分发挥气候和物种资源优势，丰富花卉品种，支持兰花等野生花卉资源发掘和利用，鼓励花卉企业开展国际国内合作，支持科研单位和花卉企业开展新品种选育、研发，打造玫瑰、非洲菊、观赏苗木等一批自主品牌。</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（二）推进设施建设。</w:t>
      </w:r>
      <w:r>
        <w:rPr>
          <w:rFonts w:hint="default" w:ascii="Times New Roman" w:hAnsi="Times New Roman" w:eastAsia="方正仿宋简体" w:cs="Times New Roman"/>
          <w:sz w:val="32"/>
          <w:szCs w:val="32"/>
        </w:rPr>
        <w:t>重点开展对基质栽培、水肥一体化、清洁能源利用等生态高效生产技术的研究与推广应用，积极引导花卉生产主体提升改造生产技术和管理模式，减少农药、化肥等化学合成物的使用。大力扶持和发展花卉储运、批发和零售、绿化及园林园艺、专用肥和专用农药等原辅料加工、专业设备生产、科研和推广服务等配套行业，形成体系健全、支撑有力、专业化分工明确的花卉产业发展格局。</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方正楷体简体" w:cs="Times New Roman"/>
          <w:sz w:val="32"/>
          <w:szCs w:val="32"/>
        </w:rPr>
        <w:t>（三）加大生产规模。</w:t>
      </w:r>
      <w:r>
        <w:rPr>
          <w:rFonts w:hint="default" w:ascii="Times New Roman" w:hAnsi="Times New Roman" w:eastAsia="方正仿宋简体" w:cs="Times New Roman"/>
          <w:sz w:val="32"/>
          <w:szCs w:val="32"/>
        </w:rPr>
        <w:t>建设绿色高效生产示范基地，在花卉主产区狮山镇，筛选一批优质花卉生产基地，提高大棚温室及配套设施系统应用覆盖率。围绕冬早蔬菜、花卉、核桃、冬繁制种、畜牧业等优势产业，按照与国际贸易接轨的采后处理及包装、保险、运输和冷链标准，建立标准化产地型集散中心和冷链物流体系，积极引进和培育花卉研发、种植、加工龙头企业，建设盆花生产基地，新建和改造提升一批规模化、标准化、生态高效的现代花卉产业园区。</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53" w:name="_Toc116113308"/>
      <w:bookmarkStart w:id="54" w:name="_Toc2675"/>
      <w:r>
        <w:rPr>
          <w:rFonts w:hint="default" w:ascii="Times New Roman" w:hAnsi="Times New Roman" w:eastAsia="方正黑体简体" w:cs="Times New Roman"/>
          <w:b w:val="0"/>
          <w:bCs w:val="0"/>
        </w:rPr>
        <w:t>第四节  食用菌产业</w:t>
      </w:r>
      <w:bookmarkEnd w:id="53"/>
      <w:bookmarkEnd w:id="54"/>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一、发展目标及布局</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大力发展山珍野菌，提升精深加工水平，完善野生菌交易体系，推进线上线下协同联动，把武定打造成全国食用野生菌集散地和交易中心。到2025年，全县建设野生菌保育基地23万亩，建成保育促繁科技示范基地1个，野生菌交易量1.25万吨，综合产值达10亿元以上。</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二、发展重点</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（一）加强种质资源保护。</w:t>
      </w:r>
      <w:r>
        <w:rPr>
          <w:rFonts w:hint="default" w:ascii="Times New Roman" w:hAnsi="Times New Roman" w:eastAsia="方正仿宋简体" w:cs="Times New Roman"/>
          <w:sz w:val="32"/>
          <w:szCs w:val="32"/>
        </w:rPr>
        <w:t>实施林业生态保护修复工程，以乌蒙山脉为重点，划定林下食用野生菌资源保护区110万亩以上，提高野生菌产量和品质，确保资源科学开发和永续利用。积极配合构建“州级食用菌良种繁育中心+县</w:t>
      </w:r>
      <w:r>
        <w:rPr>
          <w:rFonts w:hint="default" w:ascii="Times New Roman" w:hAnsi="Times New Roman" w:eastAsia="方正仿宋简体" w:cs="Times New Roman"/>
          <w:sz w:val="32"/>
          <w:szCs w:val="32"/>
          <w:lang w:eastAsia="zh-CN"/>
        </w:rPr>
        <w:t>级</w:t>
      </w:r>
      <w:r>
        <w:rPr>
          <w:rFonts w:hint="default" w:ascii="Times New Roman" w:hAnsi="Times New Roman" w:eastAsia="方正仿宋简体" w:cs="Times New Roman"/>
          <w:sz w:val="32"/>
          <w:szCs w:val="32"/>
        </w:rPr>
        <w:t>菌种繁殖场+乡镇菌包供应点”的良种繁育体系，积极引进国内外食用菌新种质资源，做好野生菌类的驯化和珍稀食用菌品种的引进、选育、开发利用工作，推进菌种产业化，实现菌种专业化研究、产业化生产、市场化供应。按照良种化、集约化、规模化、标准化要求，在林间空地和一般农地大力发展野生菌仿生栽培研究和推广人工食用菌栽培。</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（二）加快产业链标准化建设。</w:t>
      </w:r>
      <w:r>
        <w:rPr>
          <w:rFonts w:hint="default" w:ascii="Times New Roman" w:hAnsi="Times New Roman" w:eastAsia="方正仿宋简体" w:cs="Times New Roman"/>
          <w:sz w:val="32"/>
          <w:szCs w:val="32"/>
        </w:rPr>
        <w:t>推进全县食用菌产业从野生资源依赖型向野生、人工种植并重转变，从季节性生产向周年性生产转变，打造集约化程度高、辐射带动能力强的标准化食用菌生产基地，重点引进和扶持大型龙头企业，发展工厂化种植基地。建设食用菌科技示范园，建设菌种车间、标准化栽培菇房、实验大楼等配套设备，形成集科研、生产和检测等功能为一体的优质高效食用菌生产示范基地。突出抓好食用菌产地环境检测、投入品质量监管、菌种质量检验检测、生产过程记录、产品质量追溯及市场准入等关键环节，大力发展绿色有机食用菌产品。加快完善野生菌等级分类标准，加大仓储、冷链、运输、包装、质检等设施建设，尽可能延长保鲜时间，减少损耗。</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（三）稳步拓宽市场渠道。</w:t>
      </w:r>
      <w:r>
        <w:rPr>
          <w:rFonts w:hint="default" w:ascii="Times New Roman" w:hAnsi="Times New Roman" w:eastAsia="方正仿宋简体" w:cs="Times New Roman"/>
          <w:sz w:val="32"/>
          <w:szCs w:val="32"/>
        </w:rPr>
        <w:t>瞄准省外高端市场，研发推广高端野生菌产品，提高产品附加值，增强市场竞争力。加强食用菌保健、调理等功能的研发，鼓励开展萃取野生菌精油、食用菌调味品等深加工。依托优越的生态资源优势，建设不同类型的食用菌农业观光园，开发特色产品，形成各具特色的主题农业生态园。开发以“山珍野菌”为主题的特色餐饮，增加文化元素，打造“牛肝菌”“松茸”“干巴菌“等山珍野菌饮食文化特色品牌，不断扩大品牌影响力。</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55" w:name="_Toc116113309"/>
      <w:bookmarkStart w:id="56" w:name="_Toc11121"/>
      <w:r>
        <w:rPr>
          <w:rFonts w:hint="default" w:ascii="Times New Roman" w:hAnsi="Times New Roman" w:eastAsia="方正黑体简体" w:cs="Times New Roman"/>
          <w:b w:val="0"/>
          <w:bCs w:val="0"/>
        </w:rPr>
        <w:t>第五节  畜牧业产业</w:t>
      </w:r>
      <w:bookmarkEnd w:id="55"/>
      <w:bookmarkEnd w:id="56"/>
    </w:p>
    <w:p>
      <w:pPr>
        <w:pStyle w:val="19"/>
        <w:adjustRightInd w:val="0"/>
        <w:snapToGrid w:val="0"/>
        <w:spacing w:before="0" w:after="0" w:line="560" w:lineRule="exact"/>
        <w:ind w:firstLine="640" w:firstLineChars="200"/>
        <w:jc w:val="left"/>
        <w:outlineLvl w:val="9"/>
        <w:rPr>
          <w:rFonts w:hint="default" w:ascii="Times New Roman" w:hAnsi="Times New Roman" w:eastAsia="方正黑体简体" w:cs="Times New Roman"/>
          <w:b w:val="0"/>
          <w:bCs w:val="0"/>
        </w:rPr>
      </w:pPr>
      <w:bookmarkStart w:id="57" w:name="_Toc19560"/>
      <w:r>
        <w:rPr>
          <w:rFonts w:hint="default" w:ascii="Times New Roman" w:hAnsi="Times New Roman" w:eastAsia="方正黑体简体" w:cs="Times New Roman"/>
          <w:b w:val="0"/>
          <w:bCs w:val="0"/>
        </w:rPr>
        <w:t>一、发展目标及布局</w:t>
      </w:r>
      <w:bookmarkEnd w:id="57"/>
    </w:p>
    <w:p>
      <w:pPr>
        <w:adjustRightInd w:val="0"/>
        <w:snapToGrid w:val="0"/>
        <w:spacing w:line="560" w:lineRule="exact"/>
        <w:ind w:firstLine="640"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sz w:val="32"/>
          <w:szCs w:val="32"/>
        </w:rPr>
        <w:t>突出“一大一小”（即牛和鸡），立足自身优势，建设优质肉牛生产基地，力争2025年全县肉牛存栏达30万头以上，出栏达15万头以上，肉牛产业综合产值达</w:t>
      </w:r>
      <w:r>
        <w:rPr>
          <w:rFonts w:hint="default"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rPr>
        <w:t>亿元以上；以武定肉鸡产业被列为“一县一业”示范创建县为契机，有效发挥38名科技特派团成员中4名“鸡专家”作用，采取种质提标、质量搭台、信息赋能、金融助力、市场介入等模式，坚持专班推进，力争通过持续不断的努力，把武定肉鸡打造成年出栏0.5亿羽以上、综合产值60亿元以上的支柱产业。以狮山、高桥、猫街、插甸、田心五个乡镇为重点优质肉猪主产区、以狮山、高桥、猫街、插甸为优质肉牛主产区、以猫街、白路、环州、狮山、东坡为肉羊主产区、以狮山镇、高桥镇、猫街镇、插甸镇、万德镇为优质家禽优势产区，全县11个乡镇全面发展，在全县11个乡镇全面发展中蜂产业。遵循“生产生态有机结合”的原则，坚持保护与发展并重，大力发展山地牧业。加快良种繁育体系建设，持续强化品种资源保护，实施遗传改良计划，加快武定畜禽育种场、扩繁场、改良站建设，积极推广畜禽冻精配种改良等技术，改造和新建基层冻精改良站点。依托龙头企业，坚持农牧结合，深入开展国家级肉牛肉羊养殖标准化示范场创建活动，推进建设“龙头企业+合作社+农户”的“双绑”利益联结机制，全面提高规模化养殖水平，全产业链打造全国特色生猪养殖基地、云南滇中特色肉牛养殖基地。</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黑体" w:cs="Times New Roman"/>
          <w:sz w:val="32"/>
          <w:szCs w:val="32"/>
        </w:rPr>
        <w:t>二、发展重点</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（一）强化品种资源保护和利用。</w:t>
      </w:r>
      <w:r>
        <w:rPr>
          <w:rFonts w:hint="default" w:ascii="Times New Roman" w:hAnsi="Times New Roman" w:eastAsia="方正仿宋简体" w:cs="Times New Roman"/>
          <w:sz w:val="32"/>
          <w:szCs w:val="32"/>
        </w:rPr>
        <w:t>加强“撒坝猪”“滇中牛”“云岭山羊”“武定鸡”等地方品种资源保护，加强“云岭牛”“云上黑山羊”“撒坝猪”等培育品种的示范推广力度，实施遗传改良计划，持续强化品种资源保护。大推进现代种业建设，抓好良种繁育基地建设，加快品种改良步伐，引进优良品种，扩大优质良种群体规模，以培育出具有国际竞争力的滇中牛品牌为目标，深入开展滇中牛品质提升研究，不断优选培育出生产性能更高、肉品质更好的优良种群，扩大云岭牛核心种群，配套建设云岭牛育种场、扩繁场、改良站、改良点。组织实施肉羊良种工程建设项目，重点支持标准化圈舍改扩建，种羊生产性能测定、疫病监测净化设备和其他必备仪器设备购置，建立全县肉羊种源基地。完善良种推广体系，积极推广牛冻精改良等技术，改造和新建基层冻精改良站点。</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（二）推广标准化规模养殖。</w:t>
      </w:r>
      <w:r>
        <w:rPr>
          <w:rFonts w:hint="default" w:ascii="Times New Roman" w:hAnsi="Times New Roman" w:eastAsia="方正仿宋简体" w:cs="Times New Roman"/>
          <w:sz w:val="32"/>
          <w:szCs w:val="32"/>
        </w:rPr>
        <w:t>顺应食品供需结构变化趋势，统筹种养加协调发展，推动农牧协同、粮畜种养循环，推进“粮改饲”，引导全县发展青贮玉米、苜蓿等优质饲料作物种植，通过以养带种的方式，种植专用青贮玉米原料，加工成青贮饲料，大力发展草食畜健康养殖。发展草料产品加工，培育从事生产蒸汽压片玉米、浓缩料、精料补充料、饲草料种植加工配送企业，保障饲草料均衡供给。深入开展标准化规模养殖示范场创建活动，推进标准化规模养殖，创建一批国家级养殖标准化示范场，因地制宜发展适度规模养殖，提高养殖水平，增加养殖效益。加快建设绿色有机生产基地，以高原生态牧场为基础，按照绿色有机生产规范要求，建设生态养殖家庭牧场和绿色有机养殖场、示范场、育肥场，鼓励养殖加工企业积极申报绿色、有机认证，大力推广“撒坝猪”“滇中牛”“云岭牛”“云岭山羊”“云上黑山羊”“武定鸡”养殖，打响“撒坝猪”“滇中牛”“云岭山羊”“武定鸡”等区域品牌。</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（三）加强安全体系建设。</w:t>
      </w:r>
      <w:r>
        <w:rPr>
          <w:rFonts w:hint="default" w:ascii="Times New Roman" w:hAnsi="Times New Roman" w:eastAsia="方正仿宋简体" w:cs="Times New Roman"/>
          <w:sz w:val="32"/>
          <w:szCs w:val="32"/>
        </w:rPr>
        <w:t>加强动物疫病防控体系建设，坚持预防为主，预防与控制、净化、消灭相结合的方针，强化免、检、消、堵、拔等综合措施，突出抓好重大动物疫病和地方多发病防控，降低畜禽发病率和死亡率。建立以政府主导、市场运作的病死动物和病害动物产品无害化处理机制，合理规划设置，鼓励单位和个人投资建设无害化处理厂，出台财政对病死动物无害化处理补助措施。合理布局屠宰加工和冷链物流，加强屠宰管理和疫病防控。强化质量安全监管体系建设，充分应用现代信息化手段，织密养殖、屠宰加工、流通运输、市场销售各环节质量安全监管网，形成真正意义上的“质量可追溯”。</w:t>
      </w:r>
    </w:p>
    <w:p>
      <w:pPr>
        <w:adjustRightInd w:val="0"/>
        <w:snapToGrid w:val="0"/>
        <w:spacing w:line="560" w:lineRule="exact"/>
        <w:ind w:firstLine="640" w:firstLineChars="200"/>
        <w:rPr>
          <w:rFonts w:hint="default" w:ascii="Times New Roman" w:hAnsi="Times New Roman" w:eastAsia="方正黑体简体" w:cs="Times New Roman"/>
        </w:rPr>
      </w:pPr>
      <w:r>
        <w:rPr>
          <w:rFonts w:hint="default" w:ascii="Times New Roman" w:hAnsi="Times New Roman" w:eastAsia="方正楷体简体" w:cs="Times New Roman"/>
          <w:sz w:val="32"/>
          <w:szCs w:val="32"/>
        </w:rPr>
        <w:t>（四）全面提升屠宰和精深加工能力。</w:t>
      </w:r>
      <w:r>
        <w:rPr>
          <w:rFonts w:hint="default" w:ascii="Times New Roman" w:hAnsi="Times New Roman" w:eastAsia="方正仿宋简体" w:cs="Times New Roman"/>
          <w:sz w:val="32"/>
          <w:szCs w:val="32"/>
        </w:rPr>
        <w:t>以“生态安全、特色健康、绿色有机”为主题，以市场需求为导向，充分利用大原料、发展大加工、培育大龙头、开拓大市场，加快发展畜牧产品加工业。拓展畜牧产品初加工，以集中屠宰、冷鲜上市为主攻方向，推进标准化屠宰，优化畜牧产品结构，重点发展预冷、保鲜、冷冻、清洗、分级、分割、包装等仓储设施和商品化处理，实现减损增效。提升畜牧产品精深加工，创新加工技术，加快发展腌腊制品、风干制品、卤制品、罐头制品、熏制食品等产品，提高产业效益。推进综合利用加工，大力发展皮毛、血清、血红素、骨胶、骨粉等副产品加工，延伸产业链，提升增值空间。</w:t>
      </w:r>
      <w:bookmarkStart w:id="58" w:name="_Toc116113310"/>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59" w:name="_Toc18335"/>
      <w:r>
        <w:rPr>
          <w:rFonts w:hint="default" w:ascii="Times New Roman" w:hAnsi="Times New Roman" w:eastAsia="方正黑体简体" w:cs="Times New Roman"/>
          <w:b w:val="0"/>
          <w:bCs w:val="0"/>
        </w:rPr>
        <w:t>第六节  特色水果产业</w:t>
      </w:r>
      <w:bookmarkEnd w:id="58"/>
      <w:bookmarkEnd w:id="59"/>
    </w:p>
    <w:p>
      <w:pPr>
        <w:adjustRightInd w:val="0"/>
        <w:snapToGrid w:val="0"/>
        <w:spacing w:line="560"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以东坡柑桔、己衣芒果、狮山樱桃基地等为示范引领，巧打时间差，抢先登陆消费市场，发展小浆果等优势果种。大力推进高标准现代果园建设，重点改良老果园品种、改善果园生产条件，配备滴灌等水肥一体化高效节水节肥设施，推进绿色、有机果园基地建设试点。支持鼓励企业建设水果分级生产线，强化果品采后商品化处理，在主要水果产区支持企业配套建设冷库、气调库，力争做到“淡储旺销”。鼓励企业发展果品精深加工，开发果汁、果干、果酒系列产品。支持葡萄、桃、芒果等果种产区结合当地民族特色，发展旅游业，建设农文旅融合示范区。积极</w:t>
      </w:r>
      <w:r>
        <w:rPr>
          <w:rFonts w:hint="default" w:ascii="Times New Roman" w:hAnsi="Times New Roman" w:eastAsia="方正仿宋简体" w:cs="Times New Roman"/>
          <w:sz w:val="32"/>
          <w:szCs w:val="32"/>
        </w:rPr>
        <w:t>拓展北上广深和港澳市场，鼓励水果电商企业借助“云品荟”拓展销售市场，不断提高优质水果电商销售比例，进一步把错季优质水果产业培育成武定最具区域特色、最具发展潜力、最具比较优势的绿色食品重点产业。</w:t>
      </w:r>
      <w:r>
        <w:rPr>
          <w:rFonts w:hint="default" w:ascii="Times New Roman" w:hAnsi="Times New Roman" w:eastAsia="方正仿宋简体" w:cs="Times New Roman"/>
          <w:kern w:val="0"/>
          <w:sz w:val="32"/>
          <w:szCs w:val="32"/>
        </w:rPr>
        <w:t>2025年，全县种植优质林果8万亩以上、产值达3亿元，年增速达6%以上。</w:t>
      </w:r>
      <w:bookmarkStart w:id="60" w:name="_Toc15831"/>
      <w:bookmarkStart w:id="61" w:name="_Toc116113311"/>
    </w:p>
    <w:p>
      <w:pPr>
        <w:adjustRightInd w:val="0"/>
        <w:snapToGrid w:val="0"/>
        <w:spacing w:line="560" w:lineRule="exact"/>
        <w:jc w:val="center"/>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第七节  植物蛋白产业</w:t>
      </w:r>
      <w:bookmarkEnd w:id="60"/>
      <w:bookmarkEnd w:id="61"/>
    </w:p>
    <w:p>
      <w:pPr>
        <w:adjustRightInd w:val="0"/>
        <w:snapToGrid w:val="0"/>
        <w:spacing w:line="56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白路核桃”为示范引领，辐射带动环州、发窝、插甸等核桃主产区。推动核桃产业重点技术的研发和运用，加强高产优质品种的选育和推广，促进核桃产业由面积数量增长向质量效益提升转变。鼓励林农在疏林地、宜林荒山荒坡上种植核桃，实现生态环境的优胜劣汰。加强核桃品种改良、密度调控、套型修剪、固土保培、套种间作、中耕施肥、旱季灌水、病虫防治、成熟采收、科学烘烤10项提质增效实用技术的推广，加快核桃初加工机械一体化技术推广应用，降低生产成本，提高核桃产量、质量和效益。提升核桃水洗果和烘干设施水平，进行分级包装，提高核桃产量和质量，提升销售价格。</w:t>
      </w:r>
      <w:bookmarkStart w:id="62" w:name="_Toc23808"/>
      <w:bookmarkStart w:id="63" w:name="_Toc116113312"/>
    </w:p>
    <w:p>
      <w:pPr>
        <w:adjustRightInd w:val="0"/>
        <w:snapToGrid w:val="0"/>
        <w:spacing w:line="560" w:lineRule="exact"/>
        <w:ind w:firstLine="640" w:firstLineChars="200"/>
        <w:jc w:val="center"/>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第八节  中药材产业</w:t>
      </w:r>
    </w:p>
    <w:bookmarkEnd w:id="62"/>
    <w:bookmarkEnd w:id="63"/>
    <w:p>
      <w:pPr>
        <w:pStyle w:val="29"/>
        <w:adjustRightInd w:val="0"/>
        <w:spacing w:line="560" w:lineRule="exact"/>
        <w:ind w:firstLine="640"/>
        <w:jc w:val="left"/>
        <w:rPr>
          <w:rFonts w:hint="default" w:ascii="Times New Roman" w:hAnsi="Times New Roman" w:eastAsia="方正黑体简体" w:cs="Times New Roman"/>
          <w:sz w:val="32"/>
          <w:szCs w:val="32"/>
        </w:rPr>
      </w:pPr>
      <w:bookmarkStart w:id="64" w:name="_Toc3522"/>
      <w:r>
        <w:rPr>
          <w:rFonts w:hint="default" w:ascii="Times New Roman" w:hAnsi="Times New Roman" w:eastAsia="方正黑体简体" w:cs="Times New Roman"/>
          <w:sz w:val="32"/>
          <w:szCs w:val="32"/>
        </w:rPr>
        <w:t>一、两区布局</w:t>
      </w:r>
      <w:bookmarkEnd w:id="64"/>
    </w:p>
    <w:p>
      <w:pPr>
        <w:pStyle w:val="29"/>
        <w:adjustRightInd w:val="0"/>
        <w:spacing w:line="560" w:lineRule="exact"/>
        <w:ind w:firstLine="64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将全县划分为重点生产区和辐射区两大区域：中药材重点生产区包括环州、白路、插甸、猫街、东坡等5个乡镇，其中包含以环州、猫街、插甸为核心的种子种苗繁育区，以环州为核心的中药材科技创新及核心示范区。中药材生产辐射区包括狮山、万德、田心、高桥4个乡镇。</w:t>
      </w:r>
    </w:p>
    <w:p>
      <w:pPr>
        <w:pStyle w:val="29"/>
        <w:numPr>
          <w:ilvl w:val="0"/>
          <w:numId w:val="1"/>
        </w:numPr>
        <w:adjustRightInd w:val="0"/>
        <w:spacing w:line="560" w:lineRule="exact"/>
        <w:ind w:firstLine="64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建设两基地</w:t>
      </w:r>
    </w:p>
    <w:p>
      <w:pPr>
        <w:pStyle w:val="29"/>
        <w:adjustRightInd w:val="0"/>
        <w:spacing w:line="560" w:lineRule="exact"/>
        <w:ind w:firstLine="64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是建设重楼重要原料基地。紧紧围绕宝田农业科技有限公司原料需求，力争建成以黄草乌、重楼、三七、金铁锁、藜芦等品种为主的重要原料基地。二是建设特色彝族药材基地。迎合大健康养生的需求，以玫瑰茄、滇黄精、砂仁、山药、红花等大宗药食两用植物为主，兼以滇黄芩、续断、半夏、鸡血藤、云防风、滇龙胆等特色彝族药材。</w:t>
      </w:r>
    </w:p>
    <w:p>
      <w:pPr>
        <w:pStyle w:val="29"/>
        <w:numPr>
          <w:ilvl w:val="0"/>
          <w:numId w:val="1"/>
        </w:numPr>
        <w:adjustRightInd w:val="0"/>
        <w:spacing w:line="560" w:lineRule="exact"/>
        <w:ind w:firstLine="64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推广三种模式种植</w:t>
      </w:r>
    </w:p>
    <w:p>
      <w:pPr>
        <w:pStyle w:val="29"/>
        <w:adjustRightInd w:val="0"/>
        <w:spacing w:line="560" w:lineRule="exact"/>
        <w:ind w:firstLine="640"/>
        <w:rPr>
          <w:rFonts w:hint="default" w:ascii="Times New Roman" w:hAnsi="Times New Roman" w:eastAsia="方正黑体简体" w:cs="Times New Roman"/>
        </w:rPr>
      </w:pPr>
      <w:r>
        <w:rPr>
          <w:rFonts w:hint="default" w:ascii="Times New Roman" w:hAnsi="Times New Roman" w:eastAsia="方正仿宋简体" w:cs="Times New Roman"/>
          <w:kern w:val="0"/>
          <w:sz w:val="32"/>
          <w:szCs w:val="32"/>
        </w:rPr>
        <w:t>打造GAP规范化种植、林下复合种植和野生抚育种植三种模式。到2025年，力争建成云南省“中药材良种繁育基地”“中药材种植（养殖）科技示范园”共5个，全县中药材种植规模达15万亩，实现农业产值5.5亿元，年增速15%。</w:t>
      </w:r>
      <w:bookmarkStart w:id="65" w:name="_Toc116113313"/>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66" w:name="_Toc21944"/>
      <w:r>
        <w:rPr>
          <w:rFonts w:hint="default" w:ascii="Times New Roman" w:hAnsi="Times New Roman" w:eastAsia="方正黑体简体" w:cs="Times New Roman"/>
          <w:b w:val="0"/>
          <w:bCs w:val="0"/>
        </w:rPr>
        <w:t>第九节  淡水渔业</w:t>
      </w:r>
      <w:bookmarkEnd w:id="65"/>
      <w:bookmarkEnd w:id="66"/>
    </w:p>
    <w:p>
      <w:pPr>
        <w:adjustRightInd w:val="0"/>
        <w:snapToGrid w:val="0"/>
        <w:spacing w:line="560" w:lineRule="exact"/>
        <w:ind w:firstLine="640" w:firstLineChars="200"/>
        <w:rPr>
          <w:rFonts w:hint="default" w:ascii="Times New Roman" w:hAnsi="Times New Roman" w:eastAsia="方正黑体简体" w:cs="Times New Roman"/>
        </w:rPr>
      </w:pPr>
      <w:r>
        <w:rPr>
          <w:rFonts w:hint="default" w:ascii="Times New Roman" w:hAnsi="Times New Roman" w:eastAsia="方正仿宋简体" w:cs="Times New Roman"/>
          <w:sz w:val="32"/>
          <w:szCs w:val="32"/>
        </w:rPr>
        <w:t>以狮山、田心、东坡、万德为重点，积极引进优质大宗淡水鱼和特色水产养殖品种，建设优质、特色水产苗种基地，为渔业产业结构调整和供给侧改革奠定基础。加大宜渔资源开发力度，推进大水面生态渔业发展，实现大宗淡水鱼养殖、休闲特色鱼养殖、稻渔综合种养同步推进。加快建设猫街高原鲈鱼养殖基地、大宗淡水鱼健康养殖示范区等，推进水产养殖绿色发展和渔业三产融合，确保水产品品种多样、供应平稳、质量安全。到2025年，全县水产品</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rPr>
        <w:t>产量达1500吨，渔业产值0.6亿元。</w:t>
      </w:r>
      <w:bookmarkStart w:id="67" w:name="_Toc116113314"/>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68" w:name="_Toc8277"/>
      <w:r>
        <w:rPr>
          <w:rFonts w:hint="default" w:ascii="Times New Roman" w:hAnsi="Times New Roman" w:eastAsia="方正黑体简体" w:cs="Times New Roman"/>
          <w:b w:val="0"/>
          <w:bCs w:val="0"/>
        </w:rPr>
        <w:t>第十节  林下经济</w:t>
      </w:r>
      <w:bookmarkEnd w:id="67"/>
      <w:bookmarkEnd w:id="68"/>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充分发挥武定森林资源优势，加快发展林下种养殖。实行立体种养和复合经管，大力发展一批林菌、林药、林果、林花、林菜、林茶等林下种植，推广发展一批林畜、林禽、林蜂、林虫等林下养殖；创新林下经济发展新模式，建设一批高标准的林下经济示范基地，开发高附加值的林下经济加工技术和产品，到2025年，实现林下经济</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rPr>
        <w:t>产值到0.5亿元。</w:t>
      </w:r>
      <w:bookmarkStart w:id="69" w:name="_Toc116113315"/>
    </w:p>
    <w:p>
      <w:pPr>
        <w:pStyle w:val="2"/>
        <w:adjustRightInd w:val="0"/>
        <w:snapToGrid w:val="0"/>
        <w:spacing w:line="560" w:lineRule="exact"/>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p>
    <w:p>
      <w:pPr>
        <w:pStyle w:val="19"/>
        <w:adjustRightInd w:val="0"/>
        <w:snapToGrid w:val="0"/>
        <w:spacing w:before="0" w:after="0" w:line="560" w:lineRule="exact"/>
        <w:rPr>
          <w:rFonts w:hint="default" w:ascii="Times New Roman" w:hAnsi="Times New Roman" w:eastAsia="方正小标宋简体" w:cs="Times New Roman"/>
          <w:b w:val="0"/>
          <w:bCs w:val="0"/>
        </w:rPr>
      </w:pPr>
      <w:bookmarkStart w:id="70" w:name="_Toc1390"/>
      <w:r>
        <w:rPr>
          <w:rFonts w:hint="default" w:ascii="Times New Roman" w:hAnsi="Times New Roman" w:eastAsia="方正小标宋简体" w:cs="Times New Roman"/>
          <w:b w:val="0"/>
          <w:bCs w:val="0"/>
        </w:rPr>
        <w:t>第五章  大力发展绿色食品加工</w:t>
      </w:r>
      <w:bookmarkEnd w:id="69"/>
      <w:bookmarkEnd w:id="70"/>
    </w:p>
    <w:p>
      <w:pPr>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方正仿宋简体" w:cs="Times New Roman"/>
          <w:sz w:val="32"/>
          <w:szCs w:val="32"/>
        </w:rPr>
        <w:t>聚焦加工端，加快农产品加工生产向园区化、精细化、专业化、规模化、标准化和产业化发展，打造绿色食品加工基地，实现规上绿色食品加工企业倍增、产值倍增。</w:t>
      </w:r>
      <w:bookmarkStart w:id="71" w:name="_Toc116113316"/>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72" w:name="_Toc16903"/>
      <w:r>
        <w:rPr>
          <w:rFonts w:hint="default" w:ascii="Times New Roman" w:hAnsi="Times New Roman" w:eastAsia="方正黑体简体" w:cs="Times New Roman"/>
          <w:b w:val="0"/>
          <w:bCs w:val="0"/>
        </w:rPr>
        <w:t>第一节  推动食品加工业集聚化发展</w:t>
      </w:r>
      <w:bookmarkEnd w:id="71"/>
      <w:bookmarkEnd w:id="72"/>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足农业发展基础，按照“增加总量规模，提升创建质量，强化产业对接，增强基地效益”的总体思路，加快建设绿色食品加工基地，统筹产地、销区和园区布局，形成生产与加工、产品与市场、企业与农户协调发展的格局。将现代农业产业园等各类园区作为承接产业发展的重要载体和平台，加强园区交通、通信、供水、供气、供电、防灾减灾等配套基础设施建设，增强园区综合配套能力，引导产业和项目向园区集聚。按照“一个专业园区、一个主导产品、一套仓储物流”的模式，不断提升农产品加工园基础设施水平，强化科技研发、融资担保、检验检测等服务，完善仓储物流、供能供热、废污处理等功能。依托现有的食品工业园、农产品加工园，优化升级为绿色食品产业园，进一步优化产业布局，加快优势主导产业集聚，建设质量安全、绿色生态、节能环保、富有竞争力、具有武定特色的绿色食品产业集群。以县城东南绿色食品加工园为支撑平台，将武定打造成为区域性的农产品加工中心。</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73" w:name="_Toc116113317"/>
      <w:bookmarkStart w:id="74" w:name="_Toc22658"/>
      <w:r>
        <w:rPr>
          <w:rFonts w:hint="default" w:ascii="Times New Roman" w:hAnsi="Times New Roman" w:eastAsia="方正黑体简体" w:cs="Times New Roman"/>
          <w:b w:val="0"/>
          <w:bCs w:val="0"/>
        </w:rPr>
        <w:t>第二节  提升绿色食品加工水平</w:t>
      </w:r>
      <w:bookmarkEnd w:id="73"/>
      <w:bookmarkEnd w:id="74"/>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统筹发展农产品初加工、精深加工和综合利用加工，推进农产品多元化开发、多层次利用、多环节增值。</w:t>
      </w:r>
    </w:p>
    <w:p>
      <w:pPr>
        <w:pStyle w:val="19"/>
        <w:adjustRightInd w:val="0"/>
        <w:snapToGrid w:val="0"/>
        <w:spacing w:before="0" w:after="0" w:line="560" w:lineRule="exact"/>
        <w:ind w:firstLine="640" w:firstLineChars="200"/>
        <w:jc w:val="left"/>
        <w:outlineLvl w:val="9"/>
        <w:rPr>
          <w:rFonts w:hint="default" w:ascii="Times New Roman" w:hAnsi="Times New Roman" w:eastAsia="方正黑体简体" w:cs="Times New Roman"/>
          <w:b w:val="0"/>
          <w:bCs w:val="0"/>
        </w:rPr>
      </w:pPr>
      <w:bookmarkStart w:id="75" w:name="_Toc16493"/>
      <w:r>
        <w:rPr>
          <w:rFonts w:hint="default" w:ascii="Times New Roman" w:hAnsi="Times New Roman" w:eastAsia="方正黑体简体" w:cs="Times New Roman"/>
          <w:b w:val="0"/>
          <w:bCs w:val="0"/>
        </w:rPr>
        <w:t>一、拓展农产品初加工</w:t>
      </w:r>
      <w:bookmarkEnd w:id="75"/>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支持农民专业合作社和家庭农场改善储藏、保鲜、烘干、清选分级、包装等设施装备条件，鼓励和支持农民专业合作社、家庭农场和中小微企业等发展农产品产地初加工，促进商品化处理，减少产后损失，延长供应时间，提高质量效益。粮食等耐储农产品，重点发展烘干、储藏、脱壳、去杂、磨制等初加工，实现保值增值。畜禽、果蔬等鲜活农产品，重点发展预冷、保鲜、冷冻、清洗、分级、分割、包装等仓储设施和商品化处理，实现减损增效。食用类初级农产品，重点发展发酵、压杆、灌制、炸制、干制、腌制、熟制等初加工，满足市场多样化需求。</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二、促进农产品精深加工</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大力发展以健康养殖、绿色果蔬、精品花卉、道地药材、特色林果、山珍野菌、特色种养为主的精深加工，推进各类农产品多元化精深加工，组织研发和生产高端冷榨油、冻干果蔬、速食、调味品及调料、生物保健品和医药用品等精加工产品和衍生产品。引导大型农业企业加快生物、工程、环保、信息等技术集成应用，促进农产品多次加工，实现多次增值；推进新型非热加工、新型杀菌、高效分离、清洁生产、智能控制、形态识别、自动分选等技术、装备应用升级，利用专用原料，配套专用设备，研制专用配方，开发类别多样、营养健康、方便快捷的系列化产品。</w:t>
      </w:r>
    </w:p>
    <w:p>
      <w:pPr>
        <w:adjustRightInd w:val="0"/>
        <w:snapToGrid w:val="0"/>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三、发展综合利用加工</w:t>
      </w:r>
    </w:p>
    <w:p>
      <w:pPr>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方正仿宋简体" w:cs="Times New Roman"/>
          <w:sz w:val="32"/>
          <w:szCs w:val="32"/>
        </w:rPr>
        <w:t>促进综合利用企业与合作社、家庭农场、种养大户有机结合，鼓励大型农业企业和农产品加工园区推进加工副产品循环利用和梯次利用，建立副产物收集、处理和运输的绿色通道，采用先进的提取、分离与制备技术，推广应用环保技术，推进稻壳米糠、麦麸、油料饼粕、果蔬皮渣、畜禽皮毛骨血、水产品皮骨内脏等副产物综合利用，提升加工副产物的利用价值，着力培育一批农产品及加工副产物综合利用试点乡镇、试点园区、试点企业，辐射带动综合利用行业。</w:t>
      </w:r>
      <w:bookmarkStart w:id="76" w:name="_Toc116113318"/>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77" w:name="_Toc5638"/>
      <w:r>
        <w:rPr>
          <w:rFonts w:hint="default" w:ascii="Times New Roman" w:hAnsi="Times New Roman" w:eastAsia="方正黑体简体" w:cs="Times New Roman"/>
          <w:b w:val="0"/>
          <w:bCs w:val="0"/>
        </w:rPr>
        <w:t>第三节  扶强绿色食品加工企业</w:t>
      </w:r>
      <w:bookmarkEnd w:id="76"/>
      <w:bookmarkEnd w:id="77"/>
    </w:p>
    <w:p>
      <w:pPr>
        <w:adjustRightInd w:val="0"/>
        <w:snapToGrid w:val="0"/>
        <w:spacing w:line="560" w:lineRule="exact"/>
        <w:ind w:firstLine="640"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sz w:val="32"/>
          <w:szCs w:val="32"/>
        </w:rPr>
        <w:t>培育引进一批规模以上绿色食品加工龙头企业，不断提高加工转化水平，推动武定绿色食品产业高质量发展。落实武定县规上农产品加工企业“倍增计划”，鼓励支持农产品加工龙头企业新建和技改扩建精深加工生产线，着力引进和培育壮大一批农产品加工龙头企业，促进现有龙头企业转型升级。扶持一批农产品加工装备研发机构和生产创制企业，开展信息化、智能化、工程化加工装备研发，提升农产品加工层次水平。引导龙头企业采取兼并、重组、收购等方式组建大型企业集团，加速企业集群集聚发展，使现有的绿色食品龙头企业达到或接近省级绿色食品龙头企业标准。依托农业龙头企业，加强专业分工协作，带动中、小型企业做大做强，小（微）企业做优做精，形成各类农业龙头企业协调发展的高原特色农业与绿色食品产业发展新格局。到2025年，培育一批规模以上绿色食品加工龙头企业，培强一批产值1亿元以上、5亿元以上和10亿元以上的产业领军企业。</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78" w:name="_Toc116113319"/>
      <w:bookmarkStart w:id="79" w:name="_Toc32479"/>
      <w:r>
        <w:rPr>
          <w:rFonts w:hint="default" w:ascii="Times New Roman" w:hAnsi="Times New Roman" w:eastAsia="方正黑体简体" w:cs="Times New Roman"/>
          <w:b w:val="0"/>
          <w:bCs w:val="0"/>
        </w:rPr>
        <w:t>第四节  加大招商引资力度</w:t>
      </w:r>
      <w:bookmarkEnd w:id="78"/>
      <w:bookmarkEnd w:id="79"/>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聚焦重点区域、重点领域、重点企业和薄弱环节，突出以商招商、产业招商、精准招商，围绕示范园区、补链延链强链、“飞地经济”招商，加大招商引进1亿元以上、5亿元以上、10亿元以上建设项目，创新项目建设落地新模式。围绕绿色食品产业链重大项目，完善高原特色现代农业和绿色食品产业招商引资重点企业服务平台，加强部门协作，强化问题办理，在项目落地审批、用电用水、信贷融资、产业用地和工程建设等方面予以重点支持，及时解决企业和项目落地过程中遇到的困难及问题。围绕健康养殖、绿色果蔬、精品花卉、道地药材、生态林果、山珍野菌、现代种业等农业产业，建立农业项目评审、发布机制和招商安商决策机制，积极参与构建全州招商联动网络。强化精准招商，做好招商引智、招大引强、选商选资工作，持续优化营商环境，依法简化涉农项目审批程序，落实好企业投资奖补政策，为企业投资提供政策支持和服务保障，营造良好环境。</w:t>
      </w:r>
    </w:p>
    <w:p>
      <w:pPr>
        <w:pStyle w:val="2"/>
        <w:adjustRightInd w:val="0"/>
        <w:snapToGrid w:val="0"/>
        <w:spacing w:line="560" w:lineRule="exact"/>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p>
    <w:p>
      <w:pPr>
        <w:spacing w:line="560" w:lineRule="exact"/>
        <w:jc w:val="center"/>
        <w:rPr>
          <w:rFonts w:hint="default" w:ascii="Times New Roman" w:hAnsi="Times New Roman" w:eastAsia="方正小标宋简体" w:cs="Times New Roman"/>
          <w:sz w:val="32"/>
          <w:szCs w:val="32"/>
        </w:rPr>
      </w:pPr>
      <w:bookmarkStart w:id="80" w:name="_Toc4692"/>
      <w:bookmarkStart w:id="81" w:name="_Toc116113320"/>
      <w:r>
        <w:rPr>
          <w:rFonts w:hint="default" w:ascii="Times New Roman" w:hAnsi="Times New Roman" w:eastAsia="方正小标宋简体" w:cs="Times New Roman"/>
          <w:sz w:val="32"/>
          <w:szCs w:val="32"/>
        </w:rPr>
        <w:t>第六章  重点工程</w:t>
      </w:r>
      <w:bookmarkEnd w:id="80"/>
      <w:bookmarkEnd w:id="81"/>
    </w:p>
    <w:p>
      <w:pPr>
        <w:spacing w:line="560" w:lineRule="exact"/>
        <w:jc w:val="center"/>
        <w:rPr>
          <w:rFonts w:hint="default" w:ascii="Times New Roman" w:hAnsi="Times New Roman" w:eastAsia="方正黑体" w:cs="Times New Roman"/>
          <w:sz w:val="32"/>
          <w:szCs w:val="32"/>
        </w:rPr>
      </w:pPr>
      <w:bookmarkStart w:id="82" w:name="_Toc116113321"/>
      <w:bookmarkStart w:id="83" w:name="_Toc3371"/>
      <w:r>
        <w:rPr>
          <w:rFonts w:hint="default" w:ascii="Times New Roman" w:hAnsi="Times New Roman" w:eastAsia="方正黑体" w:cs="Times New Roman"/>
          <w:sz w:val="32"/>
          <w:szCs w:val="32"/>
        </w:rPr>
        <w:t>第一节  新动能培育工程</w:t>
      </w:r>
      <w:bookmarkEnd w:id="82"/>
      <w:bookmarkEnd w:id="83"/>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（一）发展“互联网+”农业。</w:t>
      </w:r>
      <w:r>
        <w:rPr>
          <w:rFonts w:hint="default" w:ascii="Times New Roman" w:hAnsi="Times New Roman" w:eastAsia="方正仿宋简体" w:cs="Times New Roman"/>
          <w:sz w:val="32"/>
          <w:szCs w:val="32"/>
        </w:rPr>
        <w:t>加快物联网、大数据、区块链、人工智能、5G、智慧气象等现代信息技术在农业领域的应用，促进科技农业、智慧农业和共享经济发展，提高生产智能化、经营网络化、管理数据化、服务在线化水平，推进农业数字化转型。</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（二）发展“特色+”农业。</w:t>
      </w:r>
      <w:r>
        <w:rPr>
          <w:rFonts w:hint="default" w:ascii="Times New Roman" w:hAnsi="Times New Roman" w:eastAsia="方正仿宋简体" w:cs="Times New Roman"/>
          <w:sz w:val="32"/>
          <w:szCs w:val="32"/>
        </w:rPr>
        <w:t>围绕我县有基础、有特色、有潜力的产业，推进农业、林业与旅游、教育、文化、康养等产业深度融合，加快打造狮山、高桥、插甸、猫街等乡镇一二三产融合发展示范区，建设一批农业文化旅游“三位一体”、生产生活生态同步改善、一二三产深度融合的特色村镇，打造一批“一村一品”升级版，发展各具特色的专业村。</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（三）发展共享经济。</w:t>
      </w:r>
      <w:r>
        <w:rPr>
          <w:rFonts w:hint="default" w:ascii="Times New Roman" w:hAnsi="Times New Roman" w:eastAsia="方正仿宋简体" w:cs="Times New Roman"/>
          <w:sz w:val="32"/>
          <w:szCs w:val="32"/>
        </w:rPr>
        <w:t>推动科技、教育、人文等元素融入农业，大力发展乡村共享经济，重点在狮山镇、猫街镇建设一批集产品认养、托管代种、自行耕种、农舍租赁等多种功能为一体的小规模、精致化、综合性现代化共享农场。</w:t>
      </w:r>
    </w:p>
    <w:p>
      <w:pPr>
        <w:spacing w:line="560" w:lineRule="exact"/>
        <w:jc w:val="center"/>
        <w:rPr>
          <w:rFonts w:hint="default" w:ascii="Times New Roman" w:hAnsi="Times New Roman" w:eastAsia="方正黑体" w:cs="Times New Roman"/>
          <w:sz w:val="32"/>
          <w:szCs w:val="32"/>
        </w:rPr>
      </w:pPr>
      <w:bookmarkStart w:id="84" w:name="_Toc116113322"/>
      <w:bookmarkStart w:id="85" w:name="_Toc24435"/>
      <w:r>
        <w:rPr>
          <w:rFonts w:hint="default" w:ascii="Times New Roman" w:hAnsi="Times New Roman" w:eastAsia="方正黑体" w:cs="Times New Roman"/>
          <w:sz w:val="32"/>
          <w:szCs w:val="32"/>
        </w:rPr>
        <w:t>第二节  主体培育工程</w:t>
      </w:r>
      <w:bookmarkEnd w:id="84"/>
      <w:bookmarkEnd w:id="85"/>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（一）培育农业龙头企业。</w:t>
      </w:r>
      <w:r>
        <w:rPr>
          <w:rFonts w:hint="default" w:ascii="Times New Roman" w:hAnsi="Times New Roman" w:eastAsia="方正仿宋简体" w:cs="Times New Roman"/>
          <w:sz w:val="32"/>
          <w:szCs w:val="32"/>
        </w:rPr>
        <w:t>按照扶优、扶强、扶特、扶大与引进并重的原则，扎实开展农业市场主体倍增计划，加快招引培育一批销售收入10亿元级、5亿元级、1亿元级的种养类、加工类、物流类、营销类等农业龙头企业，着力引进一批投资额5亿元以上的“绿色食品牌”重点企业。支持农产品加工企业参与农产品原料基地建设，打造标准化农业“露天工厂”、加工车间等，培育一批规模以上绿色食品加工龙头企业。到2025年，全县有省州级重点龙头企业达48户以上、新增农业产业化联合体（产业联盟）1个，“双绑定”机制覆盖率达70%以上。</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（二）培育农民专业合作社。</w:t>
      </w:r>
      <w:r>
        <w:rPr>
          <w:rFonts w:hint="default" w:ascii="Times New Roman" w:hAnsi="Times New Roman" w:eastAsia="方正仿宋简体" w:cs="Times New Roman"/>
          <w:sz w:val="32"/>
          <w:szCs w:val="32"/>
        </w:rPr>
        <w:t>深化农民专业合作社规范提升行动，加大对县级以上示范社扶持力度，全面建立“空壳社”治理长效机制，规范合作社议事决策、财务管理等制度，提升合作社发展质量，增强合作社服务带动能力。支持发展“土地托管”合作社，引导农民专业合作社托管农户的承包土地，实行代耕代种。到2025年，全县平均每个行政村至少培育1个规范运行的农民专业合作社，农户入社率达40%以上。</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（三）培育家庭农场和种养大户。</w:t>
      </w:r>
      <w:r>
        <w:rPr>
          <w:rFonts w:hint="default" w:ascii="Times New Roman" w:hAnsi="Times New Roman" w:eastAsia="方正仿宋简体" w:cs="Times New Roman"/>
          <w:sz w:val="32"/>
          <w:szCs w:val="32"/>
        </w:rPr>
        <w:t>实施家庭农场培育计划，新培育建设一批家庭农场和青年农场主。持续开展示范创建，组织培育和认定一批国家、省、州、县农民专业合作社示范社、示范家庭农场。鼓励有条件的种养大户、农村经纪人、返乡创业者登记注册成立家庭农场，着力培育一批产业特色鲜明、经营管理规范、综合效益好、示范带动强的家庭农场。制定适合武定县发展的种植、养殖专业大户评定标准，加快对示范种养大户的评定，做好种养大户信息填报和动态更新工作，强化示范创建引领，做好典型案例征集推介。到2025年，全县农民专业合作社和家庭农场达380个以上，新增种养殖大户300户。</w:t>
      </w:r>
      <w:bookmarkStart w:id="86" w:name="_Toc116113323"/>
    </w:p>
    <w:p>
      <w:pPr>
        <w:spacing w:line="560" w:lineRule="exact"/>
        <w:jc w:val="center"/>
        <w:rPr>
          <w:rFonts w:hint="default" w:ascii="Times New Roman" w:hAnsi="Times New Roman" w:eastAsia="方正黑体" w:cs="Times New Roman"/>
          <w:sz w:val="32"/>
          <w:szCs w:val="32"/>
        </w:rPr>
      </w:pPr>
      <w:bookmarkStart w:id="87" w:name="_Toc14561"/>
      <w:r>
        <w:rPr>
          <w:rFonts w:hint="default" w:ascii="Times New Roman" w:hAnsi="Times New Roman" w:eastAsia="方正黑体" w:cs="Times New Roman"/>
          <w:sz w:val="32"/>
          <w:szCs w:val="32"/>
        </w:rPr>
        <w:t>第三节  平台建设工程</w:t>
      </w:r>
      <w:bookmarkEnd w:id="86"/>
      <w:bookmarkEnd w:id="87"/>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 w:cs="Times New Roman"/>
          <w:sz w:val="32"/>
          <w:szCs w:val="32"/>
        </w:rPr>
        <w:t>（一）建设电子商务平台。</w:t>
      </w:r>
      <w:r>
        <w:rPr>
          <w:rFonts w:hint="default" w:ascii="Times New Roman" w:hAnsi="Times New Roman" w:eastAsia="方正仿宋简体" w:cs="Times New Roman"/>
          <w:sz w:val="32"/>
          <w:szCs w:val="32"/>
        </w:rPr>
        <w:t>加快推进县、乡、村电子商务平台建设，建立健全农村电子商务服务体系，引导农业龙头企业开展电子商务营销，提升品牌影响力和市场占有率。加强与知名电商平台合作，开发社区团购、直播带货、微商、会员制、个人定制等多种形式特色农产品营销促销平台和模式。支持多形式建立绿色食品电商平台，积极引导企业充分利用电商平台拓宽营销渠道、提高流通效率。全面推广“一部手机云品荟”，以县级为主体，组织辖区内农业企业、农民专业合作社、供销合作社、种养大户等市场主体入驻“一部手机云品荟”平台。</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（二）建设农产品质量安全追溯平台。</w:t>
      </w:r>
      <w:r>
        <w:rPr>
          <w:rFonts w:hint="default" w:ascii="Times New Roman" w:hAnsi="Times New Roman" w:eastAsia="方正仿宋简体" w:cs="Times New Roman"/>
          <w:sz w:val="32"/>
          <w:szCs w:val="32"/>
        </w:rPr>
        <w:t>推动国家农产品质量安全追溯管理平台应用，加快实现农产品质量安全可追溯管理，全面推行与市场准入相衔接的食用农产品合格证制度。健全县、乡镇农产品质量安全监管体系，加快建设“区块链+农产品”质量安全全程追溯平台，创建省级农产品质量安全县。</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（三）建设园区平台。</w:t>
      </w:r>
      <w:r>
        <w:rPr>
          <w:rFonts w:hint="default" w:ascii="Times New Roman" w:hAnsi="Times New Roman" w:eastAsia="方正仿宋简体" w:cs="Times New Roman"/>
          <w:sz w:val="32"/>
          <w:szCs w:val="32"/>
        </w:rPr>
        <w:t>推进农产品加工园区集中，推进政策集成、要素集聚、企业集群、功能集中，发展“飞地经济”模式，建成1个产加销贯通、贸工商一体、一二三产融合发展的农产品加工园区，培育乡村产业“增长极”。抓好乡村振兴示范园创建，以“三中心一平台”为基础，统筹农业、旅游、新农村发展要素，将狮山、高桥、猫街、白路等产业示范园区打造成为全省重点支持建设的乡村振兴示范园区。</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（四）建设农业社会化服务综合平台。</w:t>
      </w:r>
      <w:r>
        <w:rPr>
          <w:rFonts w:hint="default" w:ascii="Times New Roman" w:hAnsi="Times New Roman" w:eastAsia="方正仿宋简体" w:cs="Times New Roman"/>
          <w:sz w:val="32"/>
          <w:szCs w:val="32"/>
        </w:rPr>
        <w:t>加强农业生产性服务行业管理，积极推行“约定有合同、内容有标准、过程有记录、人员有培训、质量有保证、产品有监管”的服务模式，不断提高服务的规范化、标准化水平。鼓励专业服务公司、服务型农民专业合作社、村集体经济组织等服务主体，面向小农户开展农资供应、土地托管、代耕代种、统防统治、烘干收储等农业生产性服务。</w:t>
      </w:r>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（五）建设农业金融服务平台。</w:t>
      </w:r>
      <w:r>
        <w:rPr>
          <w:rFonts w:hint="default" w:ascii="Times New Roman" w:hAnsi="Times New Roman" w:eastAsia="方正仿宋简体" w:cs="Times New Roman"/>
          <w:sz w:val="32"/>
          <w:szCs w:val="32"/>
        </w:rPr>
        <w:t>加快推进金融服务“村村通”，构建“物流网点+自助银行+电子银行”三位一体的服务体系，探索农村创新普惠金融服务模式，实施新型农业经营主体专项贷款和金融支持现代农业行动。引导农业银行等金融平台创新发展“保险+”业务，推动“银保”合作，巩固种养业政策性保险，扩大农业保险覆盖面、增加保险品种，逐步提高保障水平。</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88" w:name="_Toc12728"/>
      <w:bookmarkStart w:id="89" w:name="_Toc116113324"/>
      <w:r>
        <w:rPr>
          <w:rFonts w:hint="default" w:ascii="Times New Roman" w:hAnsi="Times New Roman" w:eastAsia="方正黑体简体" w:cs="Times New Roman"/>
          <w:b w:val="0"/>
          <w:bCs w:val="0"/>
        </w:rPr>
        <w:t>第四节 融合发展工程</w:t>
      </w:r>
      <w:bookmarkEnd w:id="88"/>
      <w:bookmarkEnd w:id="89"/>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“内向”融合。</w:t>
      </w:r>
      <w:r>
        <w:rPr>
          <w:rFonts w:hint="default" w:ascii="Times New Roman" w:hAnsi="Times New Roman" w:eastAsia="方正仿宋简体" w:cs="Times New Roman"/>
          <w:sz w:val="32"/>
          <w:szCs w:val="32"/>
        </w:rPr>
        <w:t>促进农林牧渔“内向”融合，推进规模种植与林牧渔融合，发展林下种养、稻鱼共生等业态，形成“农业+”多业态发展形势。</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“纵向”融合。</w:t>
      </w:r>
      <w:r>
        <w:rPr>
          <w:rFonts w:hint="default" w:ascii="Times New Roman" w:hAnsi="Times New Roman" w:eastAsia="方正仿宋简体" w:cs="Times New Roman"/>
          <w:sz w:val="32"/>
          <w:szCs w:val="32"/>
        </w:rPr>
        <w:t>推进产加销“纵向”融合，发展中央厨房、直供直销、会员农业等业态。</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“横向”融合。</w:t>
      </w:r>
      <w:r>
        <w:rPr>
          <w:rFonts w:hint="default" w:ascii="Times New Roman" w:hAnsi="Times New Roman" w:eastAsia="方正仿宋简体" w:cs="Times New Roman"/>
          <w:sz w:val="32"/>
          <w:szCs w:val="32"/>
        </w:rPr>
        <w:t>推进农业与文化、旅游、教育、康养等产业“横向”融合，发展创意农业、生态观光、功能农业、休闲农业、森林康养、乡村休闲等业态。</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“逆向”融合。</w:t>
      </w:r>
      <w:r>
        <w:rPr>
          <w:rFonts w:hint="default" w:ascii="Times New Roman" w:hAnsi="Times New Roman" w:eastAsia="方正仿宋简体" w:cs="Times New Roman"/>
          <w:sz w:val="32"/>
          <w:szCs w:val="32"/>
        </w:rPr>
        <w:t>推进农业与信息产业融合，发展数字农业、智慧农业等业态，实现新技术渗透“逆向”融合。</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“多向”融合。</w:t>
      </w:r>
      <w:r>
        <w:rPr>
          <w:rFonts w:hint="default" w:ascii="Times New Roman" w:hAnsi="Times New Roman" w:eastAsia="方正仿宋简体" w:cs="Times New Roman"/>
          <w:sz w:val="32"/>
          <w:szCs w:val="32"/>
        </w:rPr>
        <w:t>支持建设一批一二三产业融合、产加销一体、产业链条完整的现代乡村产业园，加快建设一批集标准原料基地、精深加工转化、区域主导产业、紧密利益联结于一体的农业产业强镇、强村，实现多主体参与、多要素聚集、多业态发展、多模式推进的融合格局，促进多元主体利益融合，促进新型工业化、信息化、城镇化和农业现代化融合，提升全产业链发展水平。</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建设融合载体。</w:t>
      </w:r>
      <w:r>
        <w:rPr>
          <w:rFonts w:hint="default" w:ascii="Times New Roman" w:hAnsi="Times New Roman" w:eastAsia="方正仿宋简体" w:cs="Times New Roman"/>
          <w:sz w:val="32"/>
          <w:szCs w:val="32"/>
        </w:rPr>
        <w:t>围绕“区域化布局、园区化带动、基地化推进”的发展思路，推广多产业融合发展模式，加快推进高桥镇数字乡村振兴示范园建设。推动猫街、白路等融合示范村项目建设，创建农村产业融合发展示范乡镇。高起点、高标准打造“两区两园”，示范带动形成梯次推进的现代农业产业园建设体系，为农业农村现代化建设和乡村振兴提供有力支撑，到2025年，争取创建省级乡村振兴示范园1个、州级乡村振兴范园1－2个、县级乡村振兴示范园3－5个。</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90" w:name="_Toc116113325"/>
      <w:bookmarkStart w:id="91" w:name="_Toc5631"/>
      <w:r>
        <w:rPr>
          <w:rFonts w:hint="default" w:ascii="Times New Roman" w:hAnsi="Times New Roman" w:eastAsia="方正黑体简体" w:cs="Times New Roman"/>
          <w:b w:val="0"/>
          <w:bCs w:val="0"/>
        </w:rPr>
        <w:t>第五节  品牌打造工程</w:t>
      </w:r>
      <w:bookmarkEnd w:id="90"/>
      <w:bookmarkEnd w:id="91"/>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打造区域公用品牌。</w:t>
      </w:r>
      <w:r>
        <w:rPr>
          <w:rFonts w:hint="default" w:ascii="Times New Roman" w:hAnsi="Times New Roman" w:eastAsia="方正仿宋简体" w:cs="Times New Roman"/>
          <w:sz w:val="32"/>
          <w:szCs w:val="32"/>
        </w:rPr>
        <w:t>以“武定香米”“猫街松茸”“武定牛肝菌”“白路核桃”“插甸花椒”“己衣晚熟芒果”“东坡冬早蔬菜”“武定鸡”“滇撒猪”等特色优势产品为重点，依托楚雄州电商区域公共品牌“滇韵楚彝”建设，加快打造县域公共品牌，力争培育1－2个特色品类。加强县域公共品牌的宣传推介，充分利用南博会、彝族火把节等国内外展销活动提高武定县品牌知名度和影响力。</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建设经营主体品牌。</w:t>
      </w:r>
      <w:r>
        <w:rPr>
          <w:rFonts w:hint="default" w:ascii="Times New Roman" w:hAnsi="Times New Roman" w:eastAsia="方正仿宋简体" w:cs="Times New Roman"/>
          <w:sz w:val="32"/>
          <w:szCs w:val="32"/>
        </w:rPr>
        <w:t>建立企业商标品牌战略实施分类指导制度，以注册登记电子档案为基础，及时全面准确掌握全县企业特点和商标情况，适时出台分类企业商标工作指南。在狮山、高桥、猫街等有条件的乡镇推动成立品牌指导站，提供商标品牌指导服务。引导企业树立品牌意识，积极创建企业品牌，支持企业拓展品牌推广渠道，创新思维、创意发展，建立各具特色的商标品牌文化。积极探索依托集体、证明商标和企业商标，实施“区域品牌+企业品牌”的“双品牌”战略。</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培育农产品品牌。</w:t>
      </w:r>
      <w:r>
        <w:rPr>
          <w:rFonts w:hint="default" w:ascii="Times New Roman" w:hAnsi="Times New Roman" w:eastAsia="方正仿宋简体" w:cs="Times New Roman"/>
          <w:sz w:val="32"/>
          <w:szCs w:val="32"/>
        </w:rPr>
        <w:t>推动制定农产品品牌发展规划和品牌保护计划，建立农产品品牌培育、发展和保护机制与激励机制。结合地域差异、品种特性，创建一批具有文化底蕴、鲜明地域特征的“小而美”特色农产品品牌，培育一批手工作坊、乡村车间，创响一批“土字号”“乡字号”特色产品品牌。组织经营主体参加全省“10大名品”“10强企业”“20佳创新企业”等评选活动，打造名品、名标、名牌、名企“金色招牌”，打造一批具有武定特色的品牌。到2025年，在全县获无公害农产品19个，绿色农产品28个、有机农产品5个、地理标志农产品1个，总计</w:t>
      </w:r>
      <w:r>
        <w:rPr>
          <w:rFonts w:hint="default" w:ascii="Times New Roman" w:hAnsi="Times New Roman" w:cs="Times New Roman"/>
          <w:sz w:val="32"/>
          <w:szCs w:val="32"/>
        </w:rPr>
        <w:t>53</w:t>
      </w:r>
      <w:r>
        <w:rPr>
          <w:rFonts w:hint="default" w:ascii="Times New Roman" w:hAnsi="Times New Roman" w:eastAsia="方正仿宋简体" w:cs="Times New Roman"/>
          <w:sz w:val="32"/>
          <w:szCs w:val="32"/>
        </w:rPr>
        <w:t>个的基础上新增“三品一标”30个，达到80个以上。做大做强品牌产业，持证产品复查换证（续展）保持在80%以上。</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92" w:name="_Toc8762"/>
      <w:bookmarkStart w:id="93" w:name="_Toc116113326"/>
      <w:r>
        <w:rPr>
          <w:rFonts w:hint="default" w:ascii="Times New Roman" w:hAnsi="Times New Roman" w:eastAsia="方正黑体简体" w:cs="Times New Roman"/>
          <w:b w:val="0"/>
          <w:bCs w:val="0"/>
        </w:rPr>
        <w:t>第六节  创新驱动工程</w:t>
      </w:r>
      <w:bookmarkEnd w:id="92"/>
      <w:bookmarkEnd w:id="93"/>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加强农业科技创新。</w:t>
      </w:r>
      <w:r>
        <w:rPr>
          <w:rFonts w:hint="default" w:ascii="Times New Roman" w:hAnsi="Times New Roman" w:eastAsia="方正仿宋简体" w:cs="Times New Roman"/>
          <w:sz w:val="32"/>
          <w:szCs w:val="32"/>
        </w:rPr>
        <w:t>构建多元互补、协同高效的农业科技社会化服务体系，开展农业科技培训，深入推行科技特派员制度，抓好特派员定期下乡包村联户开展技术培训，建立起科技特派员支撑“大农业”发展的新格局。稳定农业科技项目支持机制，聚焦健康养殖、绿色果蔬、精品花卉、道地药材、特色林果、山珍野菌、现代种业全产业链科技需求，与省内外农业高校、科研机构联合攻关，突破一批关键核心和“卡脖子”技术。加强农业科技成果转移转化和知识产权保护，强化科研人员激励。到2025年引进新品种5个以上，农业科技进步贡献率达62%。</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创新人才引进。</w:t>
      </w:r>
      <w:r>
        <w:rPr>
          <w:rFonts w:hint="default" w:ascii="Times New Roman" w:hAnsi="Times New Roman" w:eastAsia="方正仿宋简体" w:cs="Times New Roman"/>
          <w:sz w:val="32"/>
          <w:szCs w:val="32"/>
        </w:rPr>
        <w:t>加强院校企合作，创建一批院士和专家工作站、科技示范园、创新创业园区和孵化基地，加快建设农业科技服务云平台，到2025年引进国内领先农业科研领军人才、创新团队，建立1－2个院士专家工作站和3－4个专家基层科研工作站。依托院士专家工作站，鼓励农业企业加快科研人才培养，支持企业建立不同类型农业科技人员分类评价制度，建立农业科研激励机制和科研成果市场化评价机制。</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建设科技创新平台。</w:t>
      </w:r>
      <w:r>
        <w:rPr>
          <w:rFonts w:hint="default" w:ascii="Times New Roman" w:hAnsi="Times New Roman" w:eastAsia="方正仿宋简体" w:cs="Times New Roman"/>
          <w:sz w:val="32"/>
          <w:szCs w:val="32"/>
        </w:rPr>
        <w:t>充分利用滇沪科技合作、科技入滇、科技入楚等形式，加强与省内外高校、科研院所、大企业合作，引入一批科研平台、科技企业、科技成果、人才团队和科技资本，形成各类要素集聚，推进农业科技示范园（基地）建设。</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94" w:name="_Toc116113327"/>
      <w:bookmarkStart w:id="95" w:name="_Toc8711"/>
      <w:r>
        <w:rPr>
          <w:rFonts w:hint="default" w:ascii="Times New Roman" w:hAnsi="Times New Roman" w:eastAsia="方正黑体简体" w:cs="Times New Roman"/>
          <w:b w:val="0"/>
          <w:bCs w:val="0"/>
        </w:rPr>
        <w:t>第七节  “武品出滇”工程</w:t>
      </w:r>
      <w:bookmarkEnd w:id="94"/>
      <w:bookmarkEnd w:id="95"/>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提升开放型农业水平。</w:t>
      </w:r>
      <w:r>
        <w:rPr>
          <w:rFonts w:hint="default" w:ascii="Times New Roman" w:hAnsi="Times New Roman" w:eastAsia="方正仿宋简体" w:cs="Times New Roman"/>
          <w:sz w:val="32"/>
          <w:szCs w:val="32"/>
        </w:rPr>
        <w:t>引进培育一批外向型农业领军企业，加快高桥、猫街、狮山等乡镇的农产品出口备案基地建设，支持现有企业提升出口营销网络建设，建设境外农产品直销点，提高南亚东南亚市场占有率，拓展欧美、中东、日本、新加坡等高端消费市场，提升冬早蔬菜、早熟水果等农产品出口创汇能力。</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拓展国内市场。</w:t>
      </w:r>
      <w:r>
        <w:rPr>
          <w:rFonts w:hint="default" w:ascii="Times New Roman" w:hAnsi="Times New Roman" w:eastAsia="方正仿宋简体" w:cs="Times New Roman"/>
          <w:sz w:val="32"/>
          <w:szCs w:val="32"/>
        </w:rPr>
        <w:t>深化沪滇合作，主动融入粤港澳大湾区“菜篮子”供给基地建设，强化与北上广深等国内大中城市的市场供给关系，组织新型农业经营主体参加各类展销会、交易会、推介会，鼓励名特优新农产品生产企业在省内外建立营销中心（专卖店）和网络直营店。</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创新营销方式。</w:t>
      </w:r>
      <w:r>
        <w:rPr>
          <w:rFonts w:hint="default" w:ascii="Times New Roman" w:hAnsi="Times New Roman" w:eastAsia="方正仿宋简体" w:cs="Times New Roman"/>
          <w:sz w:val="32"/>
          <w:szCs w:val="32"/>
        </w:rPr>
        <w:t>系统整合包装蔬菜、水果、食用菌、花卉等优势主导产业，严格制定相应的品质标准，开展优势农产品集散地市场及仓储物流体系建设，探索建立适合武定县农产品“出滇”的模式，采取领导直播、网红带货等形式，专场推介武定精品和农特产品，促进农产品出滇。</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建设市场流通体系。</w:t>
      </w:r>
      <w:r>
        <w:rPr>
          <w:rFonts w:hint="default" w:ascii="Times New Roman" w:hAnsi="Times New Roman" w:eastAsia="方正仿宋简体" w:cs="Times New Roman"/>
          <w:sz w:val="32"/>
          <w:szCs w:val="32"/>
        </w:rPr>
        <w:t>深入推进电子商务进农村和农产品出村进城，开展农业电商提质增效行动，加快推进特色农产品物流园建设，建设一个物流集散中心，在11个乡镇、136个村（社区）建设覆盖全部乡镇和60%行政村的物流网点，建设11个乡镇物流服务站和82个村级物流服务点。鼓励举办区域性绿色食品交易会，多渠道开展市场对接，扩大绿色食品品牌影响力。培育加工物流业态，发展“中央厨房+冷链配送+物流终端”“中央厨房+快餐门店”“健康数据+营养配餐+私人订制”等新型加工业态。</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建设冷链物流基础设施。</w:t>
      </w:r>
      <w:r>
        <w:rPr>
          <w:rFonts w:hint="default" w:ascii="Times New Roman" w:hAnsi="Times New Roman" w:eastAsia="方正仿宋简体" w:cs="Times New Roman"/>
          <w:sz w:val="32"/>
          <w:szCs w:val="32"/>
        </w:rPr>
        <w:t>以加快补齐农产品产地“最先一公里”短板和大力发展城市“最后一公里”低温配送为重点，鼓励大型零售企业建设生鲜食品配送中心，提供第三方冷链物流服务，完善农业冷链物流设施。重点推进冷链物流中心、农产品冷链配送中心、农产品冷链仓储销售中心等建设，加快构建“县有冷链物流中心、乡镇有冷藏冷冻服务场所、村有预冷设施设备”的冷链物流体系。到2025年，在全县重点产区和销区，新建和改造农产品集散地5个，新建保鲜冷库1万立方米。</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96" w:name="_Toc1555"/>
      <w:bookmarkStart w:id="97" w:name="_Toc116113328"/>
      <w:r>
        <w:rPr>
          <w:rFonts w:hint="default" w:ascii="Times New Roman" w:hAnsi="Times New Roman" w:eastAsia="方正黑体简体" w:cs="Times New Roman"/>
          <w:b w:val="0"/>
          <w:bCs w:val="0"/>
        </w:rPr>
        <w:t>第八节  农业基础设施筑强工程</w:t>
      </w:r>
      <w:bookmarkEnd w:id="96"/>
      <w:bookmarkEnd w:id="97"/>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建设高标准农田。</w:t>
      </w:r>
      <w:r>
        <w:rPr>
          <w:rFonts w:hint="default" w:ascii="Times New Roman" w:hAnsi="Times New Roman" w:eastAsia="方正仿宋简体" w:cs="Times New Roman"/>
          <w:sz w:val="32"/>
          <w:szCs w:val="32"/>
        </w:rPr>
        <w:t>加大高标准农田建设力度，多渠道筹集建设资金，按照“田地平整肥沃、水利设施配套、田间道路畅通、林网建设适宜、科技先进适用、优质高产高效”的要求，加快开展田块整治、土壤改良、灌溉与排水、田间道路、农田保护与生态环境、农业技术、后续管护等农田建设措施，提高防御洪涝能力和抗旱能力，实施土地整治、建设小型蓄水设施、发展高效节水灌溉、开展“宜机化”改造等工程。优先将种子田纳入高标准农田建设，逐步实现符合建设条件的主要作物制种基地高标准农田建设全覆盖。到2025年，全县新建高标准农田17万亩。</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建设农田水利设施。</w:t>
      </w:r>
      <w:r>
        <w:rPr>
          <w:rFonts w:hint="default" w:ascii="Times New Roman" w:hAnsi="Times New Roman" w:eastAsia="方正仿宋简体" w:cs="Times New Roman"/>
          <w:sz w:val="32"/>
          <w:szCs w:val="32"/>
        </w:rPr>
        <w:t>以基本解决工程性缺水瓶颈，基本消除区域性、大面积干旱为目标，推进以金沙江、红河流域为重点的干热河谷保护利用，大力实施“兴水润武”行动，加快推进滇中引水（二期）等重大水利工程建设，新建一批中小水源、灌区配套等工程，“十四五”水利设施新增蓄水库容4500万立方米，新增供水能力4000万立方米，农田有效灌溉率达45%。推进农艺节水和工程节水，加大农业用水计量设施建设，推广水肥一体化技术及喷灌、微灌、管道输水灌溉、智能水表等农业节水新技术新模式，开展高效节水灌溉工作。到2025年，全县实施喷灌、滴灌、渗灌等节水设施的耕地面积达30%以上，农田灌溉水有效利用系数达0.55。</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98" w:name="_Toc116113329"/>
      <w:bookmarkStart w:id="99" w:name="_Toc31944"/>
      <w:r>
        <w:rPr>
          <w:rFonts w:hint="default" w:ascii="Times New Roman" w:hAnsi="Times New Roman" w:eastAsia="方正黑体简体" w:cs="Times New Roman"/>
          <w:b w:val="0"/>
          <w:bCs w:val="0"/>
        </w:rPr>
        <w:t>第九节  农业绿色发展工程</w:t>
      </w:r>
      <w:bookmarkEnd w:id="98"/>
      <w:bookmarkEnd w:id="99"/>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加强农业面源污染防治。</w:t>
      </w:r>
      <w:r>
        <w:rPr>
          <w:rFonts w:hint="default" w:ascii="Times New Roman" w:hAnsi="Times New Roman" w:eastAsia="方正仿宋简体" w:cs="Times New Roman"/>
          <w:sz w:val="32"/>
          <w:szCs w:val="32"/>
        </w:rPr>
        <w:t>重点在狮山镇、高桥镇等粮食主产区、蔬菜集中产区，推广机械施肥、种肥同播等措施，推动有机肥替代和测土配方施肥，推广应用高效低残留农药；集成推广农业防治、生物防治、物理防治、生态调控等绿色防控技术，引导创建绿色生产基地。建立健全秸秆收储运体系，持续推进秸秆肥料化、饲料化和基料化利用，鼓励利用秸秆生产环保板材、纸浆等。提升农膜农药包装废弃物回收，推进畜禽养殖废弃物资源化利用和无害化处理。到2025年，主要农作物化肥、农药使用量保持负增长，农作物秸秆综合利用率达到90%以上，农膜回收率达到85%以上，畜禽养殖废弃物综合利用率达到85%以上。</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发展种养结合生态循环农业。</w:t>
      </w:r>
      <w:r>
        <w:rPr>
          <w:rFonts w:hint="default" w:ascii="Times New Roman" w:hAnsi="Times New Roman" w:eastAsia="方正仿宋简体" w:cs="Times New Roman"/>
          <w:sz w:val="32"/>
          <w:szCs w:val="32"/>
        </w:rPr>
        <w:t>开展种养结合生态循环农业示范，推广多种现代复合型循环农业发展模式，重点在山区推广“林－药－果”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半山区推广“草－粮－牧”“果－粮－猪”</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坝区推广“粮－经－牧－渔”等综合开发循环模式，实行立体种养和复合经营，提高资源利用率，实现增产增效、品质增效和节本增效的有机结合，提高农业经济效益。</w:t>
      </w:r>
    </w:p>
    <w:p>
      <w:pPr>
        <w:adjustRightInd w:val="0"/>
        <w:snapToGrid w:val="0"/>
        <w:spacing w:line="560" w:lineRule="exact"/>
        <w:ind w:firstLine="643"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加强耕地生态治理修复。</w:t>
      </w:r>
      <w:r>
        <w:rPr>
          <w:rFonts w:hint="default" w:ascii="Times New Roman" w:hAnsi="Times New Roman" w:eastAsia="方正仿宋简体" w:cs="Times New Roman"/>
          <w:sz w:val="32"/>
          <w:szCs w:val="32"/>
        </w:rPr>
        <w:t>健全耕地轮作休耕制度，提高耕地质量，重点在金沙江流域探索实行耕地轮作休耕制度试点，推动用地与养地相结合，集成推广绿色生产、综合治理技术模式，促进耕地休养生息和可持续发展。争取国家新一轮退耕还林还草工程和省级陡坡地生态治理工程，将全县25度以上坡耕地、重要水源地和石漠化地区15－25度非基本农田坡耕地、严重污染耕地纳入国家退耕还林还草和省陡坡地综合治理范围。</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开展污染耕地治理。</w:t>
      </w:r>
      <w:r>
        <w:rPr>
          <w:rFonts w:hint="default" w:ascii="Times New Roman" w:hAnsi="Times New Roman" w:eastAsia="方正仿宋简体" w:cs="Times New Roman"/>
          <w:sz w:val="32"/>
          <w:szCs w:val="32"/>
        </w:rPr>
        <w:t>实施耕地土壤环境质量分类管理，建立完善优先保护类、安全利用类和严格管控类耕地管理清单；分类分区开展污染耕地治理，对轻中度污染耕地采取农艺措施治理修复，加大安全利用技术推广力度，对重度污染耕地实行严格管控，开展种植结构调整、耕地休耕试点，加快耕地重金属污染治理。持续开展土壤污染管控与修复。到2025年，受污染耕地安全利用率达90%左右。</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建设动植物防疫体系。</w:t>
      </w:r>
      <w:r>
        <w:rPr>
          <w:rFonts w:hint="default" w:ascii="Times New Roman" w:hAnsi="Times New Roman" w:eastAsia="方正仿宋简体" w:cs="Times New Roman"/>
          <w:sz w:val="32"/>
          <w:szCs w:val="32"/>
        </w:rPr>
        <w:t>强化农作物病虫害和动物疫病监测防控体系建设。完善动物检疫基础设施，升级改造动物检疫申报点和兽医实验室，促进动物疫病防治措施有效落实。建立非洲猪瘟、禽流感、口蹄疫等疫情监测和预警数据库、应急决策咨询专家库，实现对动物疫情的及时采集、科学评估、快速检测、早期预警、高效处置。推进自动化、智能化、信息化植物病虫疫情监测预警体系的建设，大力推广中耕除草机、自走式喷杆喷雾机、植保无人机等先进植保机械，建设天敌繁育基地与生物制剂生产场，推动病虫害防治向绿色可持续方向发展，提高农产品质量安全水平。</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加强农产品质量安全建设。</w:t>
      </w:r>
      <w:r>
        <w:rPr>
          <w:rFonts w:hint="default" w:ascii="Times New Roman" w:hAnsi="Times New Roman" w:eastAsia="方正仿宋简体" w:cs="Times New Roman"/>
          <w:sz w:val="32"/>
          <w:szCs w:val="32"/>
        </w:rPr>
        <w:t>围绕蔬菜、花卉、野生菌、畜牧业等重点优势农业，聚焦品种培优、品质提升、品牌打造和标准化生产，完善全链条全环节的农业产业标准体系，推动农业生产和农产品两个“三品一标”协同发展。开展国家级、省级农产品质量安全县创建工作，拓展县内现有农产品质检机构的检测范围，全面提高农产品检验检测能力。实施乡镇农产品质量安全网格化管理，构建“区域定格、网格定人、人员定责”网格化管理模式。按照“双随机、一公开”要求，完善农产品质量安全监督抽查制度，促进抽检程序规范化、跟进查处及时化，探索建立不合格样品定期公布机制。</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00" w:name="_Toc2184"/>
      <w:bookmarkStart w:id="101" w:name="_Toc116113330"/>
      <w:r>
        <w:rPr>
          <w:rFonts w:hint="default" w:ascii="Times New Roman" w:hAnsi="Times New Roman" w:eastAsia="方正黑体简体" w:cs="Times New Roman"/>
          <w:b w:val="0"/>
          <w:bCs w:val="0"/>
        </w:rPr>
        <w:t>第十节  人才强农工程</w:t>
      </w:r>
      <w:bookmarkEnd w:id="100"/>
      <w:bookmarkEnd w:id="101"/>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培育农业领军人才。</w:t>
      </w:r>
      <w:r>
        <w:rPr>
          <w:rFonts w:hint="default" w:ascii="Times New Roman" w:hAnsi="Times New Roman" w:eastAsia="方正仿宋简体" w:cs="Times New Roman"/>
          <w:sz w:val="32"/>
          <w:szCs w:val="32"/>
        </w:rPr>
        <w:t>加强“三农”干部队伍建设，注重选拔使用懂农业、爱农村、爱农民的优秀干部，确保县乡党政领导班子配有熟悉农业农村工作的干部。畅通各类人才支农渠道，支持返乡农民工、大学生、退役军人、科技人员、企业家等到农村创新创业，搭建农村创新创业典型县、农村创新创业园区、孵化实训基地和科技成果转化等平台，强化创业指导，优化创业环境，培育乡村企业家队伍。</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建设农技推广人才队伍。</w:t>
      </w:r>
      <w:r>
        <w:rPr>
          <w:rFonts w:hint="default" w:ascii="Times New Roman" w:hAnsi="Times New Roman" w:eastAsia="方正仿宋简体" w:cs="Times New Roman"/>
          <w:sz w:val="32"/>
          <w:szCs w:val="32"/>
        </w:rPr>
        <w:t>加大招才引智力度，与国内知名农业科研院所、农业高校建立战略合作关系，加强人才引进与交流。加强农技推广人才队伍建设，实施农技推广骨干培养计划、基层农技推广人员知识更新工程和农技推广特设岗位计划。鼓励和支持农业龙头企业、农业高等院校和农民专业合作社组建农业生产实训基地，开展农业科技人才培养。到2025年，全县</w:t>
      </w:r>
      <w:r>
        <w:rPr>
          <w:rFonts w:hint="default" w:ascii="Times New Roman" w:hAnsi="Times New Roman" w:eastAsia="方正仿宋简体" w:cs="Times New Roman"/>
          <w:sz w:val="32"/>
          <w:szCs w:val="32"/>
          <w:lang w:eastAsia="zh-CN"/>
        </w:rPr>
        <w:t>累计</w:t>
      </w:r>
      <w:r>
        <w:rPr>
          <w:rFonts w:hint="default" w:ascii="Times New Roman" w:hAnsi="Times New Roman" w:eastAsia="方正仿宋简体" w:cs="Times New Roman"/>
          <w:sz w:val="32"/>
          <w:szCs w:val="32"/>
        </w:rPr>
        <w:t>组织开展农民技术职称评定100人以上。</w:t>
      </w:r>
    </w:p>
    <w:p>
      <w:pPr>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培育高素质农民。</w:t>
      </w:r>
      <w:r>
        <w:rPr>
          <w:rFonts w:hint="default" w:ascii="Times New Roman" w:hAnsi="Times New Roman" w:eastAsia="方正仿宋简体" w:cs="Times New Roman"/>
          <w:sz w:val="32"/>
          <w:szCs w:val="32"/>
        </w:rPr>
        <w:t>以种养大户、家庭农场经营者、农民专业合作社、致富带头人、农业企业骨干和返乡下乡涉农创业者为重点，开展“领头雁”培养工程和农村优秀人才回引工程，组织参加技能评价、学历教育和技能大赛，培育一批有文化、懂技术、善经营、会管理的高素质农民队伍。到2025年，</w:t>
      </w:r>
      <w:r>
        <w:rPr>
          <w:rFonts w:hint="default" w:ascii="Times New Roman" w:hAnsi="Times New Roman" w:eastAsia="方正仿宋简体" w:cs="Times New Roman"/>
          <w:sz w:val="32"/>
          <w:szCs w:val="32"/>
          <w:lang w:eastAsia="zh-CN"/>
        </w:rPr>
        <w:t>累计</w:t>
      </w:r>
      <w:r>
        <w:rPr>
          <w:rFonts w:hint="default" w:ascii="Times New Roman" w:hAnsi="Times New Roman" w:eastAsia="方正仿宋简体" w:cs="Times New Roman"/>
          <w:sz w:val="32"/>
          <w:szCs w:val="32"/>
        </w:rPr>
        <w:t>培训高素质农民1000人以上。</w:t>
      </w:r>
    </w:p>
    <w:p>
      <w:pPr>
        <w:pStyle w:val="2"/>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p>
    <w:p>
      <w:pPr>
        <w:pStyle w:val="19"/>
        <w:keepNext w:val="0"/>
        <w:keepLines w:val="0"/>
        <w:pageBreakBefore w:val="0"/>
        <w:widowControl w:val="0"/>
        <w:kinsoku/>
        <w:wordWrap/>
        <w:overflowPunct/>
        <w:topLinePunct w:val="0"/>
        <w:autoSpaceDE/>
        <w:autoSpaceDN/>
        <w:bidi w:val="0"/>
        <w:adjustRightInd w:val="0"/>
        <w:snapToGrid w:val="0"/>
        <w:spacing w:before="0" w:after="0" w:line="550" w:lineRule="exact"/>
        <w:jc w:val="center"/>
        <w:textAlignment w:val="auto"/>
        <w:rPr>
          <w:rFonts w:hint="default" w:ascii="Times New Roman" w:hAnsi="Times New Roman" w:eastAsia="方正小标宋简体" w:cs="Times New Roman"/>
          <w:b w:val="0"/>
          <w:bCs w:val="0"/>
        </w:rPr>
      </w:pPr>
      <w:bookmarkStart w:id="102" w:name="_Toc116113331"/>
      <w:bookmarkStart w:id="103" w:name="_Toc19550"/>
      <w:r>
        <w:rPr>
          <w:rFonts w:hint="default" w:ascii="Times New Roman" w:hAnsi="Times New Roman" w:eastAsia="方正小标宋简体" w:cs="Times New Roman"/>
          <w:b w:val="0"/>
          <w:bCs w:val="0"/>
        </w:rPr>
        <w:t>第七章  环境影响分析</w:t>
      </w:r>
      <w:bookmarkEnd w:id="102"/>
      <w:bookmarkEnd w:id="103"/>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规划在实施过程中和实施后，将对全县农业生产环境和生态环境造成一定影响，但经过采取一系列的消除和减轻及环境保护措施，不利影响可以得到规避和有效减轻，本规划实施基本不存在重大制约性环境因素。</w:t>
      </w:r>
    </w:p>
    <w:p>
      <w:pPr>
        <w:pStyle w:val="19"/>
        <w:keepNext w:val="0"/>
        <w:keepLines w:val="0"/>
        <w:pageBreakBefore w:val="0"/>
        <w:widowControl w:val="0"/>
        <w:kinsoku/>
        <w:wordWrap/>
        <w:overflowPunct/>
        <w:topLinePunct w:val="0"/>
        <w:autoSpaceDE/>
        <w:autoSpaceDN/>
        <w:bidi w:val="0"/>
        <w:adjustRightInd w:val="0"/>
        <w:snapToGrid w:val="0"/>
        <w:spacing w:before="0" w:after="0" w:line="550" w:lineRule="exact"/>
        <w:jc w:val="center"/>
        <w:textAlignment w:val="auto"/>
        <w:outlineLvl w:val="1"/>
        <w:rPr>
          <w:rFonts w:hint="default" w:ascii="Times New Roman" w:hAnsi="Times New Roman" w:eastAsia="方正黑体简体" w:cs="Times New Roman"/>
          <w:b w:val="0"/>
          <w:bCs w:val="0"/>
        </w:rPr>
      </w:pPr>
      <w:bookmarkStart w:id="104" w:name="_Toc116113332"/>
      <w:bookmarkStart w:id="105" w:name="_Toc26505"/>
      <w:r>
        <w:rPr>
          <w:rFonts w:hint="default" w:ascii="Times New Roman" w:hAnsi="Times New Roman" w:eastAsia="方正黑体简体" w:cs="Times New Roman"/>
          <w:b w:val="0"/>
          <w:bCs w:val="0"/>
        </w:rPr>
        <w:t>第一节  有利环境因素分析</w:t>
      </w:r>
      <w:bookmarkEnd w:id="104"/>
      <w:bookmarkEnd w:id="105"/>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武定县发展高原特色现代农业和绿色食品产业具有独特的优势，立体气候突出，土壤条件良好，光热资源独特，适宜立体种养和四季多种生物生长繁殖；农田基础设施完善；物种资源丰富多样别具特色，为滇中地区绿色明珠和生物资源宝库；农产品加工产业发展基础较好，农业加工水平大幅度提升，农产品加工主体的总量实现多倍增长，带动作用不断增强，武定县推进高原特色现代农业和绿色食品产业发展有利于生态环境保护。武定县发展蔬菜、花卉、野生菌、水果、核桃、茶叶、中药材等特色优势产业，将形成巨大的天然碳汇库，在涵养水源、增加土壤肥力，释放大量氧气等方面发挥重大生态功能；农田水利设施的建设和完善，能改变水资源的时空分布，有利于动植物生长；推进农业绿色发展，有利于提高农民绿色生产意识。</w:t>
      </w:r>
    </w:p>
    <w:p>
      <w:pPr>
        <w:pStyle w:val="19"/>
        <w:keepNext w:val="0"/>
        <w:keepLines w:val="0"/>
        <w:pageBreakBefore w:val="0"/>
        <w:widowControl w:val="0"/>
        <w:kinsoku/>
        <w:wordWrap/>
        <w:overflowPunct/>
        <w:topLinePunct w:val="0"/>
        <w:autoSpaceDE/>
        <w:autoSpaceDN/>
        <w:bidi w:val="0"/>
        <w:adjustRightInd w:val="0"/>
        <w:snapToGrid w:val="0"/>
        <w:spacing w:before="0" w:after="0" w:line="550" w:lineRule="exact"/>
        <w:jc w:val="center"/>
        <w:textAlignment w:val="auto"/>
        <w:outlineLvl w:val="1"/>
        <w:rPr>
          <w:rFonts w:hint="default" w:ascii="Times New Roman" w:hAnsi="Times New Roman" w:eastAsia="方正黑体简体" w:cs="Times New Roman"/>
          <w:b w:val="0"/>
          <w:bCs w:val="0"/>
        </w:rPr>
      </w:pPr>
      <w:bookmarkStart w:id="106" w:name="_Toc116113333"/>
      <w:bookmarkStart w:id="107" w:name="_Toc20018"/>
      <w:r>
        <w:rPr>
          <w:rFonts w:hint="default" w:ascii="Times New Roman" w:hAnsi="Times New Roman" w:eastAsia="方正黑体简体" w:cs="Times New Roman"/>
          <w:b w:val="0"/>
          <w:bCs w:val="0"/>
        </w:rPr>
        <w:t>第二节  不良环境影响分析</w:t>
      </w:r>
      <w:bookmarkEnd w:id="106"/>
      <w:bookmarkEnd w:id="107"/>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四五”时期，全县推进高原特色现代农业和绿色食品产业发展，在农业生产方面，农药、化肥、地膜等农业投入品的使用会带来一定程度的农业面源污染。农产品加工会产生“三废”排放，会对实施地的水质、土壤、空气产生局部污染。基础设施建设方面，筑坝、排水、疏通河流、取水等农田水利工程以及产业路的建设，会带来部分地区的径流减少、土壤侵蚀，造成局部地表水和地下水流量及方向变化、水土流失、水体污染等影响。外来物种的引进和培育，会改变原有的动植物结构。工程建设项目在建设期产生的工程占地、施工和弃渣将占用土地资源，会破坏地表植被，产生水土流失，并且对自然景观产生一定影响。</w:t>
      </w:r>
    </w:p>
    <w:p>
      <w:pPr>
        <w:pStyle w:val="19"/>
        <w:keepNext w:val="0"/>
        <w:keepLines w:val="0"/>
        <w:pageBreakBefore w:val="0"/>
        <w:widowControl w:val="0"/>
        <w:kinsoku/>
        <w:wordWrap/>
        <w:overflowPunct/>
        <w:topLinePunct w:val="0"/>
        <w:autoSpaceDE/>
        <w:autoSpaceDN/>
        <w:bidi w:val="0"/>
        <w:adjustRightInd w:val="0"/>
        <w:snapToGrid w:val="0"/>
        <w:spacing w:before="0" w:after="0" w:line="550" w:lineRule="exact"/>
        <w:jc w:val="center"/>
        <w:textAlignment w:val="auto"/>
        <w:outlineLvl w:val="1"/>
        <w:rPr>
          <w:rFonts w:hint="default" w:ascii="Times New Roman" w:hAnsi="Times New Roman" w:eastAsia="方正黑体简体" w:cs="Times New Roman"/>
          <w:b w:val="0"/>
          <w:bCs w:val="0"/>
        </w:rPr>
      </w:pPr>
      <w:bookmarkStart w:id="108" w:name="_Toc27950"/>
      <w:bookmarkStart w:id="109" w:name="_Toc116113334"/>
      <w:r>
        <w:rPr>
          <w:rFonts w:hint="default" w:ascii="Times New Roman" w:hAnsi="Times New Roman" w:eastAsia="方正黑体简体" w:cs="Times New Roman"/>
          <w:b w:val="0"/>
          <w:bCs w:val="0"/>
        </w:rPr>
        <w:t>第三节  消除环境影响措施</w:t>
      </w:r>
      <w:bookmarkEnd w:id="108"/>
      <w:bookmarkEnd w:id="109"/>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坚持“宜农则农、宜林则林、宜牧则牧、宜渔则渔”的原则，发展高原特色现代农业。推广成熟的化肥农药施用技术，提高化肥农药的使用效率，采取标准化养殖、清洁养殖，发展循环农业，减少和消除农业环境污染。严格执行国家有关规划及建设项目环境影响评价和审查制度。加强工程项目实施后可能影响的重要生态环境敏感区和重要目标的监测与保护，建立完善的监测体系，监测农田环境质量。农田水利工程建设尽可能采用多支砌、少开挖的建设方案，开挖的土石方进行多点堆放、分散处理，尽量减少对生态的压力。加强重点工程项目实施的环境风险评价与管理，针对可能发生的重大环境风险问题，制定突发环境事件风险应急管理措施。营造水源涵养林和水土保持林。科学引进外来物种，加强外来物种引入管理。畜牧业实行以草定畜和轮牧、休牧制</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度，因地制宜推进圈养。水资源缺乏地区，加强农业龙头企业引进力度，鼓励发展设施农业。严格监督管理农产品加工产业生产污水排放和废弃物处理。</w:t>
      </w:r>
    </w:p>
    <w:p>
      <w:pPr>
        <w:pStyle w:val="2"/>
        <w:keepNext w:val="0"/>
        <w:keepLines w:val="0"/>
        <w:pageBreakBefore w:val="0"/>
        <w:widowControl w:val="0"/>
        <w:kinsoku/>
        <w:wordWrap/>
        <w:overflowPunct/>
        <w:topLinePunct w:val="0"/>
        <w:autoSpaceDE/>
        <w:autoSpaceDN/>
        <w:bidi w:val="0"/>
        <w:spacing w:line="550" w:lineRule="exact"/>
        <w:ind w:firstLine="640" w:firstLineChars="200"/>
        <w:jc w:val="both"/>
        <w:textAlignment w:val="auto"/>
        <w:rPr>
          <w:rFonts w:hint="default" w:ascii="Times New Roman" w:hAnsi="Times New Roman" w:eastAsia="方正仿宋简体" w:cs="Times New Roman"/>
          <w:sz w:val="32"/>
          <w:szCs w:val="32"/>
        </w:rPr>
        <w:sectPr>
          <w:pgSz w:w="11906" w:h="16838"/>
          <w:pgMar w:top="2098" w:right="1474" w:bottom="1984" w:left="1587" w:header="851" w:footer="992" w:gutter="0"/>
          <w:pgNumType w:fmt="decimal"/>
          <w:cols w:space="425" w:num="1"/>
          <w:docGrid w:type="lines" w:linePitch="312" w:charSpace="0"/>
        </w:sectPr>
      </w:pPr>
    </w:p>
    <w:p>
      <w:pPr>
        <w:pStyle w:val="19"/>
        <w:adjustRightInd w:val="0"/>
        <w:snapToGrid w:val="0"/>
        <w:spacing w:before="0" w:after="0" w:line="560" w:lineRule="exact"/>
        <w:rPr>
          <w:rFonts w:hint="default" w:ascii="Times New Roman" w:hAnsi="Times New Roman" w:eastAsia="方正小标宋简体" w:cs="Times New Roman"/>
          <w:b w:val="0"/>
          <w:bCs w:val="0"/>
        </w:rPr>
      </w:pPr>
      <w:bookmarkStart w:id="110" w:name="_Toc25858"/>
      <w:bookmarkStart w:id="111" w:name="_Toc116113335"/>
      <w:r>
        <w:rPr>
          <w:rFonts w:hint="default" w:ascii="Times New Roman" w:hAnsi="Times New Roman" w:eastAsia="方正小标宋简体" w:cs="Times New Roman"/>
          <w:b w:val="0"/>
          <w:bCs w:val="0"/>
        </w:rPr>
        <w:t>第八章  保障措施</w:t>
      </w:r>
      <w:bookmarkEnd w:id="110"/>
      <w:bookmarkEnd w:id="111"/>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12" w:name="_Toc116113336"/>
      <w:bookmarkStart w:id="113" w:name="_Toc22043"/>
      <w:r>
        <w:rPr>
          <w:rFonts w:hint="default" w:ascii="Times New Roman" w:hAnsi="Times New Roman" w:eastAsia="方正黑体简体" w:cs="Times New Roman"/>
          <w:b w:val="0"/>
          <w:bCs w:val="0"/>
        </w:rPr>
        <w:t>第一节  强化组织领导</w:t>
      </w:r>
      <w:bookmarkEnd w:id="112"/>
      <w:bookmarkEnd w:id="113"/>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充分认识高原特色现代农业和绿色食品产业在巩固拓展脱贫攻坚成果与乡村振兴有效衔接、促进县域经济发展、持续增加农民收入中的重要作用，进一步加强组织领导，将产业发展纳入政府重要议事日程。农业农村部门充分发挥牵头作用，加强与发改、财政、金融等部门协调配合，创新工作推动体制机制，推动农业重点产业高质量发展。树立全局、科学发展观念，大力倡导项目工作法、一线工作法、典型引路法，把更多精力放在抓工作落实上。加强规划实施督促检查，适时开展规划中期评估和总结评估。</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14" w:name="_Toc116113337"/>
      <w:bookmarkStart w:id="115" w:name="_Toc13378"/>
      <w:r>
        <w:rPr>
          <w:rFonts w:hint="default" w:ascii="Times New Roman" w:hAnsi="Times New Roman" w:eastAsia="方正黑体简体" w:cs="Times New Roman"/>
          <w:b w:val="0"/>
          <w:bCs w:val="0"/>
        </w:rPr>
        <w:t>第二节  强化要素保障</w:t>
      </w:r>
      <w:bookmarkEnd w:id="114"/>
      <w:bookmarkEnd w:id="115"/>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加大财政、金融、人才、土地等要素对农业发展的支持力度。完善财政支农投入稳定增长机制，优化财政支农投入结构，确保财政投入与农业现代化发展目标任务相适应。以发展乡村普惠金融为抓手，建立适应武定县农业发展现状、特点的农村金融体系，形成多样化的农村金融服务主体。按照扩面、增品、提标要求，完善农业保险政策。合理利用和节约集约用地，完善乡村产业发展用地政策体系，明确用地类型和供地方式，实行分类管理。</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16" w:name="_Toc116113338"/>
      <w:bookmarkStart w:id="117" w:name="_Toc5098"/>
      <w:r>
        <w:rPr>
          <w:rFonts w:hint="default" w:ascii="Times New Roman" w:hAnsi="Times New Roman" w:eastAsia="方正黑体简体" w:cs="Times New Roman"/>
          <w:b w:val="0"/>
          <w:bCs w:val="0"/>
        </w:rPr>
        <w:t>第三节  加强项目支撑</w:t>
      </w:r>
      <w:bookmarkEnd w:id="116"/>
      <w:bookmarkEnd w:id="117"/>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加快实施“谋划</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前期</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开工</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推进</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完工竣工</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投产使用”的项目推进实施链和“周报告</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旬督查</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月调度</w:t>
      </w:r>
      <w:r>
        <w:rPr>
          <w:rFonts w:hint="default" w:ascii="Times New Roman" w:hAnsi="Times New Roman" w:eastAsia="汉仪方隶简" w:cs="Times New Roman"/>
          <w:sz w:val="32"/>
          <w:szCs w:val="32"/>
        </w:rPr>
        <w:t>－</w:t>
      </w:r>
      <w:r>
        <w:rPr>
          <w:rFonts w:hint="default" w:ascii="Times New Roman" w:hAnsi="Times New Roman" w:eastAsia="方正仿宋简体" w:cs="Times New Roman"/>
          <w:sz w:val="32"/>
          <w:szCs w:val="32"/>
        </w:rPr>
        <w:t>季开工”的项目推进时序链，建立滚动发展、有序推进的长效机制，推动武定县现代农业项目建设。对蔬菜、花卉、野生菌等重点产业项目建设实行“一对一”服务，实行“一事一议”，予以重点扶持。严格落实前期工作责任制，加大项目前期经费投入，深化项目审批制度改革，实行挂图作战、倒排工期，加强安全管理，推动产业项目早落地、早开工、早投产。</w:t>
      </w:r>
    </w:p>
    <w:p>
      <w:pPr>
        <w:pStyle w:val="19"/>
        <w:adjustRightInd w:val="0"/>
        <w:snapToGrid w:val="0"/>
        <w:spacing w:before="0" w:after="0" w:line="560" w:lineRule="exact"/>
        <w:outlineLvl w:val="1"/>
        <w:rPr>
          <w:rFonts w:hint="default" w:ascii="Times New Roman" w:hAnsi="Times New Roman" w:eastAsia="方正黑体简体" w:cs="Times New Roman"/>
          <w:b w:val="0"/>
          <w:bCs w:val="0"/>
        </w:rPr>
      </w:pPr>
      <w:bookmarkStart w:id="118" w:name="_Toc116113339"/>
      <w:bookmarkStart w:id="119" w:name="_Toc6986"/>
      <w:r>
        <w:rPr>
          <w:rFonts w:hint="default" w:ascii="Times New Roman" w:hAnsi="Times New Roman" w:eastAsia="方正黑体简体" w:cs="Times New Roman"/>
          <w:b w:val="0"/>
          <w:bCs w:val="0"/>
        </w:rPr>
        <w:t>第四节  严格监督考核</w:t>
      </w:r>
      <w:bookmarkEnd w:id="118"/>
      <w:bookmarkEnd w:id="119"/>
    </w:p>
    <w:p>
      <w:pPr>
        <w:adjustRightInd w:val="0"/>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完善高原特色农业和绿色食品产业统计监测制度，运用研判、预警、应策、推动、问效“五个主题”制度，将高原特色农业和绿色食品产业发展纳入乡镇党政领导班子和领导干部实施乡村振兴战略实绩考核，纳入“干在实处、走在前列”大比拼实绩考核的重要内容。充分运用广播、电视、互联网等新闻媒体，大力宣传高原特色农业和绿色食品产业发展的重大意义、目标任务、先进典型和成功经验，凝聚社会共识。</w:t>
      </w:r>
    </w:p>
    <w:p>
      <w:pPr>
        <w:pStyle w:val="2"/>
        <w:adjustRightInd w:val="0"/>
        <w:snapToGrid w:val="0"/>
        <w:spacing w:line="560" w:lineRule="exact"/>
        <w:rPr>
          <w:rFonts w:hint="default" w:ascii="Times New Roman" w:hAnsi="Times New Roman" w:eastAsia="方正仿宋简体" w:cs="Times New Roman"/>
          <w:sz w:val="32"/>
          <w:szCs w:val="32"/>
        </w:rPr>
      </w:pPr>
    </w:p>
    <w:p>
      <w:pPr>
        <w:adjustRightInd w:val="0"/>
        <w:snapToGrid w:val="0"/>
        <w:spacing w:line="560" w:lineRule="exact"/>
        <w:ind w:left="1598" w:leftChars="304" w:hanging="960" w:hangingChars="3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附件：武定县“十四五”高原特色现代农业和绿色食品产业发展规划建设项目表</w:t>
      </w:r>
    </w:p>
    <w:p>
      <w:pPr>
        <w:adjustRightInd w:val="0"/>
        <w:snapToGrid w:val="0"/>
        <w:spacing w:line="560" w:lineRule="exact"/>
        <w:rPr>
          <w:rFonts w:hint="default" w:ascii="Times New Roman" w:hAnsi="Times New Roman" w:cs="Times New Roman"/>
        </w:rPr>
      </w:pPr>
    </w:p>
    <w:p>
      <w:pPr>
        <w:adjustRightInd w:val="0"/>
        <w:snapToGrid w:val="0"/>
        <w:spacing w:line="560" w:lineRule="exact"/>
        <w:rPr>
          <w:rFonts w:hint="default" w:ascii="Times New Roman" w:hAnsi="Times New Roman" w:cs="Times New Roman"/>
        </w:rPr>
        <w:sectPr>
          <w:pgSz w:w="11906" w:h="16838"/>
          <w:pgMar w:top="2098" w:right="1474" w:bottom="1984" w:left="1587" w:header="851" w:footer="992" w:gutter="0"/>
          <w:pgNumType w:fmt="decimal"/>
          <w:cols w:space="425" w:num="1"/>
          <w:docGrid w:type="lines" w:linePitch="312" w:charSpace="0"/>
        </w:sectPr>
      </w:pPr>
    </w:p>
    <w:p>
      <w:pPr>
        <w:tabs>
          <w:tab w:val="left" w:pos="247"/>
        </w:tabs>
        <w:adjustRightInd w:val="0"/>
        <w:snapToGrid w:val="0"/>
        <w:spacing w:line="560" w:lineRule="exact"/>
        <w:jc w:val="left"/>
        <w:outlineLvl w:val="0"/>
        <w:rPr>
          <w:rFonts w:hint="default" w:ascii="Times New Roman" w:hAnsi="Times New Roman" w:eastAsia="方正黑体" w:cs="Times New Roman"/>
          <w:sz w:val="32"/>
          <w:szCs w:val="32"/>
        </w:rPr>
      </w:pPr>
      <w:r>
        <w:rPr>
          <w:rFonts w:hint="default" w:ascii="Times New Roman" w:hAnsi="Times New Roman" w:eastAsia="方正黑体" w:cs="Times New Roman"/>
          <w:sz w:val="32"/>
          <w:szCs w:val="32"/>
        </w:rPr>
        <w:t>附件</w:t>
      </w:r>
    </w:p>
    <w:p>
      <w:pPr>
        <w:tabs>
          <w:tab w:val="left" w:pos="247"/>
        </w:tabs>
        <w:adjustRightInd w:val="0"/>
        <w:snapToGrid w:val="0"/>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武定县“十四五”高原特色现代农业和绿色食品产业发展规划建设项目表</w:t>
      </w:r>
    </w:p>
    <w:tbl>
      <w:tblPr>
        <w:tblStyle w:val="20"/>
        <w:tblpPr w:leftFromText="180" w:rightFromText="180" w:vertAnchor="text" w:horzAnchor="page" w:tblpX="735" w:tblpY="302"/>
        <w:tblOverlap w:val="never"/>
        <w:tblW w:w="15693" w:type="dxa"/>
        <w:tblInd w:w="0" w:type="dxa"/>
        <w:tblLayout w:type="fixed"/>
        <w:tblCellMar>
          <w:top w:w="0" w:type="dxa"/>
          <w:left w:w="108" w:type="dxa"/>
          <w:bottom w:w="0" w:type="dxa"/>
          <w:right w:w="108" w:type="dxa"/>
        </w:tblCellMar>
      </w:tblPr>
      <w:tblGrid>
        <w:gridCol w:w="423"/>
        <w:gridCol w:w="1873"/>
        <w:gridCol w:w="529"/>
        <w:gridCol w:w="1134"/>
        <w:gridCol w:w="713"/>
        <w:gridCol w:w="5069"/>
        <w:gridCol w:w="1031"/>
        <w:gridCol w:w="984"/>
        <w:gridCol w:w="872"/>
        <w:gridCol w:w="825"/>
        <w:gridCol w:w="422"/>
        <w:gridCol w:w="1453"/>
        <w:gridCol w:w="365"/>
      </w:tblGrid>
      <w:tr>
        <w:tblPrEx>
          <w:tblLayout w:type="fixed"/>
          <w:tblCellMar>
            <w:top w:w="0" w:type="dxa"/>
            <w:left w:w="108" w:type="dxa"/>
            <w:bottom w:w="0" w:type="dxa"/>
            <w:right w:w="108" w:type="dxa"/>
          </w:tblCellMar>
        </w:tblPrEx>
        <w:trPr>
          <w:trHeight w:val="449" w:hRule="atLeast"/>
        </w:trPr>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序号</w:t>
            </w:r>
          </w:p>
        </w:tc>
        <w:tc>
          <w:tcPr>
            <w:tcW w:w="1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项目名称</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建设</w:t>
            </w:r>
          </w:p>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性质</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建设起</w:t>
            </w:r>
          </w:p>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止年限</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建设 地点</w:t>
            </w:r>
          </w:p>
        </w:tc>
        <w:tc>
          <w:tcPr>
            <w:tcW w:w="5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建设内容和规模</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总投资</w:t>
            </w:r>
          </w:p>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（万元）</w:t>
            </w:r>
          </w:p>
        </w:tc>
        <w:tc>
          <w:tcPr>
            <w:tcW w:w="31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资金筹措方案（万元）</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黑体" w:cs="Times New Roman"/>
                <w:sz w:val="18"/>
                <w:szCs w:val="18"/>
              </w:rPr>
            </w:pPr>
            <w:r>
              <w:rPr>
                <w:rFonts w:hint="default" w:ascii="Times New Roman" w:hAnsi="Times New Roman" w:eastAsia="方正黑体" w:cs="Times New Roman"/>
                <w:sz w:val="18"/>
                <w:szCs w:val="18"/>
              </w:rPr>
              <w:t>建设单位</w:t>
            </w:r>
          </w:p>
        </w:tc>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jc w:val="center"/>
              <w:rPr>
                <w:rFonts w:hint="default" w:ascii="Times New Roman" w:hAnsi="Times New Roman" w:eastAsia="方正黑体" w:cs="Times New Roman"/>
                <w:sz w:val="20"/>
                <w:szCs w:val="20"/>
              </w:rPr>
            </w:pPr>
            <w:r>
              <w:rPr>
                <w:rFonts w:hint="default" w:ascii="Times New Roman" w:hAnsi="Times New Roman" w:eastAsia="方正黑体" w:cs="Times New Roman"/>
                <w:sz w:val="20"/>
                <w:szCs w:val="20"/>
              </w:rPr>
              <w:t>备注</w:t>
            </w:r>
          </w:p>
        </w:tc>
      </w:tr>
      <w:tr>
        <w:tblPrEx>
          <w:tblLayout w:type="fixed"/>
          <w:tblCellMar>
            <w:top w:w="0" w:type="dxa"/>
            <w:left w:w="108" w:type="dxa"/>
            <w:bottom w:w="0" w:type="dxa"/>
            <w:right w:w="108" w:type="dxa"/>
          </w:tblCellMar>
        </w:tblPrEx>
        <w:trPr>
          <w:trHeight w:val="502" w:hRule="atLeast"/>
        </w:trPr>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5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b/>
                <w:bCs/>
                <w:sz w:val="18"/>
                <w:szCs w:val="18"/>
              </w:rPr>
            </w:pPr>
            <w:r>
              <w:rPr>
                <w:rFonts w:hint="default" w:ascii="Times New Roman" w:hAnsi="Times New Roman" w:eastAsia="方正仿宋简体" w:cs="Times New Roman"/>
                <w:b/>
                <w:bCs/>
                <w:sz w:val="18"/>
                <w:szCs w:val="18"/>
              </w:rPr>
              <w:t>政府</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b/>
                <w:bCs/>
                <w:sz w:val="18"/>
                <w:szCs w:val="18"/>
              </w:rPr>
            </w:pPr>
            <w:r>
              <w:rPr>
                <w:rFonts w:hint="default" w:ascii="Times New Roman" w:hAnsi="Times New Roman" w:eastAsia="方正仿宋简体" w:cs="Times New Roman"/>
                <w:b/>
                <w:bCs/>
                <w:sz w:val="18"/>
                <w:szCs w:val="18"/>
              </w:rPr>
              <w:t>银行贷款</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b/>
                <w:bCs/>
                <w:sz w:val="18"/>
                <w:szCs w:val="18"/>
              </w:rPr>
            </w:pPr>
            <w:r>
              <w:rPr>
                <w:rFonts w:hint="default" w:ascii="Times New Roman" w:hAnsi="Times New Roman" w:eastAsia="方正仿宋简体" w:cs="Times New Roman"/>
                <w:b/>
                <w:bCs/>
                <w:sz w:val="18"/>
                <w:szCs w:val="18"/>
              </w:rPr>
              <w:t>自筹</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b/>
                <w:bCs/>
                <w:sz w:val="18"/>
                <w:szCs w:val="18"/>
              </w:rPr>
            </w:pPr>
            <w:r>
              <w:rPr>
                <w:rFonts w:hint="default" w:ascii="Times New Roman" w:hAnsi="Times New Roman" w:eastAsia="方正仿宋简体" w:cs="Times New Roman"/>
                <w:b/>
                <w:bCs/>
                <w:sz w:val="18"/>
                <w:szCs w:val="18"/>
              </w:rPr>
              <w:t>其他</w:t>
            </w: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9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武定县现代循环畜牧业规模化、标准化养殖示范工程项目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优质畜禽新品种（系）产业化开发与推广示范：在示范区范围内建立多个推广示范小区（示范场）；2、规模化、标准化林下立体养殖示范：建设适宜放养品种与林木种植模式，开展不同规模生态放养禽林下立体养殖生产模式示范；3、畜禽节能减排新型养殖模式推广示范：根据降低能源消耗，减少碳排放的原则，建立粪污处理、沼气综合利用工程20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76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武定县畜禽规模养殖种养结合生态循环项目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在种植业、养殖业重点的乡镇建设畜禽养殖户与周边种植业配套的生态循环户1000户。</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26"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武定县饲料兽药市场建设项目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建设辐射全县的饲料兽药经营市场1个，构建投入品批发销售网络。</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武定县畜产品批发市场建设</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在狮山镇建设一个畜产品批发市场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482"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武定县牲畜交易市场项目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在狮山镇建设牲畜交易市场。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719"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畜牧业网络销售平台建设项目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采用电子商务网络等现代交易手段和流通方式的农产品批发市场，形成统一、开放、竞争有序的畜产品批发市场体系。</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武定县畜产品加工示范企业培植项目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加工企业进行技术改造和设备引进，开发分割肉、冷鲜肉、小包装及快餐食品，争创品牌产品和名牌企业。到2025年，培植猪肉加工龙头企业2家，草食牲畜加工企业2家，培植畜产品知名品牌2个。全县年生产加工能力达肉猪分割肉5万吨、冷鲜猪肉1万吨、乳制品1万吨、年屠宰肉羊20万只、肉牛2万头。</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武定县定点屠宰场建设项目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新建县级生猪定点屠宰场和乡镇屠宰点建设，加强对生猪定点 屠宰管理，确保人民群众吃上“放心肉”。提高我县优质畜禽市场竞争力.加强对乡镇级屠宰管理，在县城建设家禽集中定点屠宰场，加快肉牛、肉羊屠宰场建设。</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武定县畜牧业信息化示范项目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2010－2025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通过对畜禽生产过程的信息化管理，实现饲料投入、繁殖育种、环境监控、远程诊断等生产过程的数字化管理，提高畜产品产量和品质，减少养殖场废弃物排放，带动周边农户健康养殖，增加养殖效益。</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武定县畜产品批发市场信息化示范工程</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建立畜产品电子交易平台，开发手持式产品供求信息发布和产品价格信息采集终端系列设备，开发电子交易辅助系统，完善畜产品电子交易体系。</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武定县种草养畜项目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扶持开展秸秆养畜联户示范、示范场和青黄贮饲料专业化生产示范建设，重点支持建设秸秆青贮氨化池、购置秸秆处理机械和加工设备、畜禽养殖和秸秆饲料加工基础设施改造以及畜禽品种改良等。</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武定县畜产品质量全程追溯系统项目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开展畜产品质量安全管理信息化示范、建立畜产品质量安全生产追溯系统、推进重大动物疫情疫病监测和预警信息化示范。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739"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武定县动物检疫申报点建设项目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建设11个报检点，购置检疫设备11套。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武定县生猪标准化规模养殖项目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规模确定为年出栏生猪500－10000头，划分为四个档次，分别为500－999头、1000－1999头、2000－2999头、3000－10000头。至2025年全县完成生猪标准化养殖场建设100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2601"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武定县肉牛标准化规模养殖项目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标准化规模养殖建设规模确定为年出栏肉牛200头以上，划分为三个档次，分别为200－499头、500－999头和1000头以上。至2025年全县完成肉牛标准化养殖场30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9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武定县蛋鸡标准化规模养殖项目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标准化规模养殖建设规模确定为年存栏蛋鸡5000－50000羽，划分为三个档次，分别为5000－9999头、10000－19999羽和20000－50000羽。蛋鸡标准化规模养殖场占规模养殖场的比重达到50%，至2025年全县完成蛋鸡标准化规模养殖场20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武定县肉鸡标准化规模养殖项目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至2025年全县完成肉鸡标准化规模养殖场100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武定县肉羊标准化规模养殖项目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标准化规模养殖建设规模确定为年出栏肉羊200只以上，划分为三个档次，分别为200－499头、500－999只和1000只以上，至2025年全县完成肉羊标准化规模养殖场100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武定县肉鸭标准化养殖示范基地项目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重点在狮山、高桥、猫街、插甸等乡镇建设100个肉鸭标准化规模养殖场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武定县肉鹅标准化养殖示范基地项目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重点在狮山、高桥、猫街、插甸等乡镇建设30个肉鹅标准化规模养殖场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795"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武定县蜜蜂标准化养殖示范基地项目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在全县11个乡镇建设30个蜜蜂标准化养殖示范基地</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591"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武定县动物无害化处理场建设项目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建设县级无害化处理场1个，建筑面积10000平方米，配置无害化处理设备50台套。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武定县畜产品质量检测中心检测检验体系建设项目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建设畜产品检测中心，购置检测设备及试剂等。</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武定县乡级畜牧科技推广体系基础设施配套及动物疫情监测点建设项目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在全县11个乡镇建设畜牧推广体系基础设施，配套冷链储藏室及其设施设备。</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武定县村级动物预防工作室基础设施及设备配套建设项目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对全县136个村委会建设冷链储藏室及其设施设备配套。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武定县引进饲料生产企业项目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建设年生产饲料50万吨的饲料加工厂1个。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武定县推广农作物</w:t>
            </w:r>
            <w:r>
              <w:rPr>
                <w:rFonts w:hint="eastAsia" w:ascii="Times New Roman" w:hAnsi="Times New Roman" w:eastAsia="方正仿宋简体" w:cs="Times New Roman"/>
                <w:sz w:val="18"/>
                <w:szCs w:val="18"/>
                <w:lang w:eastAsia="zh-CN"/>
              </w:rPr>
              <w:t>秸秆</w:t>
            </w:r>
            <w:bookmarkStart w:id="120" w:name="_GoBack"/>
            <w:bookmarkEnd w:id="120"/>
            <w:r>
              <w:rPr>
                <w:rFonts w:hint="default" w:ascii="Times New Roman" w:hAnsi="Times New Roman" w:eastAsia="方正仿宋简体" w:cs="Times New Roman"/>
                <w:sz w:val="18"/>
                <w:szCs w:val="18"/>
              </w:rPr>
              <w:t>青贮、氨化技术项目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通过青贮窖、青贮壕、青贮塔、青贮堆、包膜青贮等方式，采用常规青贮、半干青贮、添加剂青贮等技术，改变秸秆品质，有效合理农作物秸秆。到2025年，全县秸秆青贮量达到100万吨，规模养牛场、养羊场100%开展秸秆青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武定县肉牛冻精贮运冷配站点建设项目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在县级建设一个肉牛冻改冻精贮运中心，建设11个肉牛冻改站。</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武定县肉羊种羊场建设项目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狮山镇、白路镇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建设肉羊种羊场4个，建标准化羊舍10000㎡、运动场2000㎡，种草5000亩、储草棚5000㎡、堆粪池1000m³、污水处理池1000m³，以及水电路、绿化建设等.</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武定鸡保种场建设项目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加大对武定鸡品种资源保护和开发，在武定县建立武定鸡品种保种场2个，扩繁场20个。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武定县种公猪站项目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狮山镇、高桥镇、插甸镇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建设年存栏优质种公猪50头以上的种公猪站11个。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武定县种子体系建设建设项目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鉴定圃20亩及仪器设备、队伍建设。</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武定县玉米育种中心建设项目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种质材料保存库300平方米；杂交选育封闭式实验苗圃4处40亩；新品种区域实验布点4个，面积40亩；购置仪器、设备、农业机械等；配套围墙、道路等基础设施。</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312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武定县发展农民专业合作经济组织建设项目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扶持25个种植、养殖为主的专业合作组织，开展技术培训，开展一条龙种植、养殖托管服务。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25000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25000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武定县高原特色农产品市场流通体系及配套基础设施建设项目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2020－2025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全县11个乡镇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在县级及11个乡镇建设12个专用市场体系，配套冷链储藏室及相关质量检测设施、电商交易平台软硬件。</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13000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13000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武定县基层农技推广体系改革与建设补助项目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建设示范基地10个、培训农业科技人员80人，培育农业科技示范户800户，辐射带动15000人。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武定县农作物病虫草鼠害防治与监测预警建设项目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农作物病虫鼠害预测预报，开展农作物病虫草鼠害绿色防控技术示范样板创建，建设100台高空测报系统，开展远程自动化网络植保专业统计。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武定县科技增粮项目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开展农作物新品种新技术试验、示范、推广等藏粮于技项目。</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1500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武定县一县一业项目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2020－2025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武定鸡产业化开发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武定县智慧农业建设项目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2020－2025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依托新型经营主体，在全县水肥一体化基地基础上，建设11个远程自动化设施配套基地，实现水肥药远程控制作业。</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武定县数字农业建设项目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2021年至2025年</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利用地面观测、传感器、遥感和地理信息技术完善原始数据采集、传输、汇总、管理、应用基础设施，强化数据挖掘、分析、应用能力建设，建立健全农业农村数据采集体系。每个乡镇计划投入资金500万元。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武定县利米村柑桔产业园建设项目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2021年至2025年</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田心</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在利米村泥汗勒村建设1000亩柑桔产业基地，配套建设提水站一座，机耕路8公里。</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3580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3580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武定县蔬菜设施农业产业园建设项目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2021年至2025年</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以狮山、插甸、白路、高桥、猫街等乡镇为重点的夏秋冷凉蔬菜基地10万亩；以己衣、东坡、万德等乡镇的干热河谷区为重点的坝区冬春蔬菜基地10万亩，完善科技支撑体系建设。</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496030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346030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武定县优质特色水果产业化发展建设项目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2021年至2025年</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以东坡、己衣以芒果、柑橘、牛油果为主，规划种植6万亩。</w:t>
            </w:r>
          </w:p>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以白路、猫街、高桥、狮山、插甸、田心以石榴为主，规划种植4万亩。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640000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340000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武定县蔬菜工厂化产业园建设项目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2021年至2025年</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高桥、猫街</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以高桥、猫街为重点建设夏秋冷凉蔬菜工厂化示范基地1万亩，每1000亩配套一套冷链物流体系和初加工车间，实现商家拎包入驻。</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武定县农产品质量安全监管体系建设项目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县级及各乡镇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农产品质量安全业务用房6000平方米、仪器设备、流动监测车辆、智慧监管大数据平台建设、追溯体系建设及队伍建设。</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武定县鳟鱼养殖项目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新村水库</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鳟鱼养殖场2个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1679.42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1679.42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武定县农田建设项目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农田建设200000亩，其中高标准农田建设115500亩，高效节水农业84500亩。建设田间排灌沟渠386.972KM，配套田间砂石路148KM,机耕路1213.13KM，小坝塘清淤修复加固65座，拦河坝6座，涵洞530米，泵站12座，水池86个25000m³，管道11500米，土地整理100000亩，土壤改良3200亩，科技培训4090人。</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161144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161144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武定县重点流域农业面源污染治理项目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每年在全县11个乡镇选择重点流域农业面源污染治理综合示范点（自然村组）20个，其中：狮山镇3个，猫街镇、高桥镇各2个，插甸镇、白路镇、己衣镇、万德镇、东坡乡、发窝乡、田心乡、环州乡各一个。农村有机生活垃圾和厕所废弃物资源化利用投入资金250万元/个自然村组，合计5000万元；秸秆综合资源化利用面积6000亩，每亩1500元，合计900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29500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29500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武定县水肥一体化设施农业建设项目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建设10万亩水肥一体化设施农业生产基地，配套智能大棚、喷滴灌设施、电力、机耕道路，每亩投资7万元。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70000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70000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武定县绿色防控建设项目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建设30万亩绿色防控生产基地，每30亩安装太阳能杀虫灯设备一套，共安装10万套，每套投资0.2万元。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52</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武定县迁飞性害虫自动测报系统建设项目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安装100套远程迁飞性害虫自动识别测报设备，每套投资20万元。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53</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武定县水稻生产功能区建设项目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在我县10万亩水田基础上，建设8万亩旱改水生产基地，使武定水稻生产功能区达到划定任务，每亩投资0.5万元。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54</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武定县粮食安全基地建设项目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全县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在我县33万亩两区划定范围，每每年每亩种植目标作物，每亩给予直补1000元。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165000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165000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55</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武定县高原冷水鱼养殖建设项目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猫街镇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建设冷水鱼养殖场5个。</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56</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武定县稻鱼工程建设项目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发展稻田养鱼5000亩。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57</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武定县休闲渔业建设项目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各乡镇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发展休闲渔业基地1100亩。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1100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58</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武定县2000亩高标准池塘提升改造项目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100亩连片的池坝塘，通过“一改五化”高标准提升改造工程，夯实发展基础，稳增长，保供难，惠民生。</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59</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武定县陆基集装箱现代渔业示范基地建设项目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武定县狮山镇</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新建占地10亩的30口陆基集装箱现代渔业养殖示范基地，年新增优质水产品产量100吨，新增渔业产值400万元。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60</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武定县池塘内循环（高标准）跑道鱼现代渔业示范基地建设项目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新建一个占地300亩10条高标准池塘内循环示范基地，一条跑道30吨/110㎡,达产后年新增优质水产品产量300吨，新增产值1200万元。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61</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武定县工厂化养殖现代渔业示范基地建设项目</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2021－2025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武定县</w:t>
            </w: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新建一个现代渔业示范基地，包括10条池塘内循环路道、30口陆基推水集装箱、一座占地20亩工厂化养殖车间。年新增优质水产品产量500吨，新增渔业产值2000万元。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default" w:ascii="Times New Roman" w:hAnsi="Times New Roman" w:eastAsia="方正仿宋简体" w:cs="Times New Roman"/>
                <w:sz w:val="18"/>
                <w:szCs w:val="18"/>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县农业农村局</w:t>
            </w: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20"/>
                <w:szCs w:val="20"/>
              </w:rPr>
            </w:pPr>
          </w:p>
        </w:tc>
      </w:tr>
      <w:tr>
        <w:tblPrEx>
          <w:tblLayout w:type="fixed"/>
          <w:tblCellMar>
            <w:top w:w="0" w:type="dxa"/>
            <w:left w:w="108" w:type="dxa"/>
            <w:bottom w:w="0" w:type="dxa"/>
            <w:right w:w="108" w:type="dxa"/>
          </w:tblCellMar>
        </w:tblPrEx>
        <w:trPr>
          <w:trHeight w:val="63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50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3397705.42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2091675.42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300000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1006030</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rPr>
                <w:rFonts w:hint="default" w:ascii="Times New Roman" w:hAnsi="Times New Roman" w:eastAsia="方正仿宋简体" w:cs="Times New Roman"/>
                <w:sz w:val="18"/>
                <w:szCs w:val="18"/>
              </w:rPr>
            </w:pPr>
          </w:p>
        </w:tc>
        <w:tc>
          <w:tcPr>
            <w:tcW w:w="36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560" w:lineRule="exact"/>
              <w:rPr>
                <w:rFonts w:hint="default" w:ascii="Times New Roman" w:hAnsi="Times New Roman" w:eastAsia="方正仿宋简体" w:cs="Times New Roman"/>
                <w:sz w:val="16"/>
                <w:szCs w:val="16"/>
              </w:rPr>
            </w:pPr>
          </w:p>
        </w:tc>
      </w:tr>
    </w:tbl>
    <w:p>
      <w:pPr>
        <w:pStyle w:val="2"/>
        <w:adjustRightInd w:val="0"/>
        <w:snapToGrid w:val="0"/>
        <w:spacing w:line="560" w:lineRule="exact"/>
        <w:ind w:firstLine="0"/>
        <w:rPr>
          <w:rFonts w:hint="default" w:ascii="Times New Roman" w:hAnsi="Times New Roman" w:cs="Times New Roman"/>
        </w:rPr>
      </w:pPr>
    </w:p>
    <w:sectPr>
      <w:pgSz w:w="16838" w:h="11906" w:orient="landscape"/>
      <w:pgMar w:top="1587" w:right="1984" w:bottom="1474" w:left="209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
    <w:altName w:val="楷体_GB2312"/>
    <w:panose1 w:val="03000509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汉仪方隶简">
    <w:altName w:val="隶书"/>
    <w:panose1 w:val="02010600000101010101"/>
    <w:charset w:val="86"/>
    <w:family w:val="auto"/>
    <w:pitch w:val="default"/>
    <w:sig w:usb0="00000000" w:usb1="000000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1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74267"/>
    <w:multiLevelType w:val="singleLevel"/>
    <w:tmpl w:val="820742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21"/>
    <w:rsid w:val="002104CE"/>
    <w:rsid w:val="00232916"/>
    <w:rsid w:val="00632901"/>
    <w:rsid w:val="007C18F7"/>
    <w:rsid w:val="008511D4"/>
    <w:rsid w:val="008E0049"/>
    <w:rsid w:val="00935251"/>
    <w:rsid w:val="009F4FAB"/>
    <w:rsid w:val="00BF1BD4"/>
    <w:rsid w:val="00CF1521"/>
    <w:rsid w:val="00E00191"/>
    <w:rsid w:val="00EA191F"/>
    <w:rsid w:val="1E9F27CD"/>
    <w:rsid w:val="26677EBB"/>
    <w:rsid w:val="4F174356"/>
    <w:rsid w:val="674FF8D3"/>
    <w:rsid w:val="6BFD656C"/>
    <w:rsid w:val="7BAF1EEA"/>
    <w:rsid w:val="7E7FA376"/>
    <w:rsid w:val="7F7AC384"/>
    <w:rsid w:val="AF3DB131"/>
    <w:rsid w:val="DBFA4126"/>
    <w:rsid w:val="F6FDDC3D"/>
    <w:rsid w:val="F9F32B91"/>
    <w:rsid w:val="FBCF229E"/>
    <w:rsid w:val="FBEFA82E"/>
    <w:rsid w:val="FDFE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next w:val="1"/>
    <w:link w:val="28"/>
    <w:qFormat/>
    <w:uiPriority w:val="0"/>
    <w:pPr>
      <w:widowControl w:val="0"/>
      <w:adjustRightInd w:val="0"/>
      <w:snapToGrid w:val="0"/>
      <w:spacing w:line="560" w:lineRule="atLeast"/>
      <w:jc w:val="center"/>
      <w:outlineLvl w:val="1"/>
    </w:pPr>
    <w:rPr>
      <w:rFonts w:ascii="方正楷体简体" w:hAnsi="宋体" w:eastAsia="方正楷体简体" w:cs="Times New Roman"/>
      <w:bCs/>
      <w:spacing w:val="-4"/>
      <w:kern w:val="2"/>
      <w:sz w:val="21"/>
      <w:szCs w:val="32"/>
      <w:lang w:val="en-US" w:eastAsia="zh-CN" w:bidi="ar-SA"/>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rFonts w:ascii="Times New Roman" w:hAnsi="Times New Roman" w:eastAsia="宋体" w:cs="Times New Roman"/>
      <w:szCs w:val="20"/>
    </w:rPr>
  </w:style>
  <w:style w:type="paragraph" w:styleId="5">
    <w:name w:val="toc 7"/>
    <w:basedOn w:val="1"/>
    <w:next w:val="1"/>
    <w:unhideWhenUsed/>
    <w:qFormat/>
    <w:uiPriority w:val="39"/>
    <w:pPr>
      <w:ind w:left="2520" w:leftChars="1200"/>
    </w:pPr>
    <w:rPr>
      <w:szCs w:val="22"/>
    </w:rPr>
  </w:style>
  <w:style w:type="paragraph" w:styleId="6">
    <w:name w:val="toc 5"/>
    <w:basedOn w:val="1"/>
    <w:next w:val="1"/>
    <w:unhideWhenUsed/>
    <w:qFormat/>
    <w:uiPriority w:val="39"/>
    <w:pPr>
      <w:ind w:left="1680" w:leftChars="800"/>
    </w:pPr>
    <w:rPr>
      <w:szCs w:val="22"/>
    </w:rPr>
  </w:style>
  <w:style w:type="paragraph" w:styleId="7">
    <w:name w:val="toc 3"/>
    <w:basedOn w:val="1"/>
    <w:next w:val="1"/>
    <w:unhideWhenUsed/>
    <w:qFormat/>
    <w:uiPriority w:val="39"/>
    <w:pPr>
      <w:ind w:left="840" w:leftChars="400"/>
    </w:pPr>
    <w:rPr>
      <w:szCs w:val="22"/>
    </w:rPr>
  </w:style>
  <w:style w:type="paragraph" w:styleId="8">
    <w:name w:val="toc 8"/>
    <w:basedOn w:val="1"/>
    <w:next w:val="1"/>
    <w:unhideWhenUsed/>
    <w:qFormat/>
    <w:uiPriority w:val="39"/>
    <w:pPr>
      <w:ind w:left="2940" w:leftChars="1400"/>
    </w:pPr>
    <w:rPr>
      <w:szCs w:val="22"/>
    </w:rPr>
  </w:style>
  <w:style w:type="paragraph" w:styleId="9">
    <w:name w:val="Date"/>
    <w:basedOn w:val="1"/>
    <w:next w:val="1"/>
    <w:link w:val="33"/>
    <w:qFormat/>
    <w:uiPriority w:val="0"/>
    <w:pPr>
      <w:ind w:left="100" w:leftChars="2500"/>
    </w:pPr>
  </w:style>
  <w:style w:type="paragraph" w:styleId="10">
    <w:name w:val="Balloon Text"/>
    <w:basedOn w:val="1"/>
    <w:link w:val="42"/>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unhideWhenUsed/>
    <w:qFormat/>
    <w:uiPriority w:val="39"/>
    <w:pPr>
      <w:ind w:left="1260" w:leftChars="600"/>
    </w:pPr>
    <w:rPr>
      <w:szCs w:val="22"/>
    </w:rPr>
  </w:style>
  <w:style w:type="paragraph" w:styleId="15">
    <w:name w:val="toc 6"/>
    <w:basedOn w:val="1"/>
    <w:next w:val="1"/>
    <w:unhideWhenUsed/>
    <w:qFormat/>
    <w:uiPriority w:val="39"/>
    <w:pPr>
      <w:ind w:left="2100" w:leftChars="1000"/>
    </w:pPr>
    <w:rPr>
      <w:szCs w:val="22"/>
    </w:rPr>
  </w:style>
  <w:style w:type="paragraph" w:styleId="16">
    <w:name w:val="toc 2"/>
    <w:basedOn w:val="1"/>
    <w:next w:val="1"/>
    <w:qFormat/>
    <w:uiPriority w:val="39"/>
    <w:pPr>
      <w:ind w:left="420" w:leftChars="200"/>
    </w:pPr>
  </w:style>
  <w:style w:type="paragraph" w:styleId="17">
    <w:name w:val="toc 9"/>
    <w:basedOn w:val="1"/>
    <w:next w:val="1"/>
    <w:unhideWhenUsed/>
    <w:qFormat/>
    <w:uiPriority w:val="39"/>
    <w:pPr>
      <w:ind w:left="3360" w:leftChars="1600"/>
    </w:pPr>
    <w:rPr>
      <w:szCs w:val="22"/>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9">
    <w:name w:val="Title"/>
    <w:basedOn w:val="1"/>
    <w:next w:val="1"/>
    <w:link w:val="32"/>
    <w:qFormat/>
    <w:uiPriority w:val="0"/>
    <w:pPr>
      <w:spacing w:before="240" w:after="60"/>
      <w:jc w:val="center"/>
      <w:outlineLvl w:val="0"/>
    </w:pPr>
    <w:rPr>
      <w:rFonts w:asciiTheme="majorHAnsi" w:hAnsiTheme="majorHAnsi" w:eastAsiaTheme="majorEastAsia" w:cstheme="majorBidi"/>
      <w:b/>
      <w:bCs/>
      <w:sz w:val="32"/>
      <w:szCs w:val="32"/>
    </w:r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customStyle="1" w:styleId="23">
    <w:name w:val="页眉 字符"/>
    <w:basedOn w:val="21"/>
    <w:link w:val="12"/>
    <w:qFormat/>
    <w:uiPriority w:val="0"/>
    <w:rPr>
      <w:kern w:val="2"/>
      <w:sz w:val="18"/>
      <w:szCs w:val="18"/>
    </w:rPr>
  </w:style>
  <w:style w:type="character" w:customStyle="1" w:styleId="24">
    <w:name w:val="页脚 字符"/>
    <w:basedOn w:val="21"/>
    <w:link w:val="11"/>
    <w:qFormat/>
    <w:uiPriority w:val="99"/>
    <w:rPr>
      <w:kern w:val="2"/>
      <w:sz w:val="18"/>
      <w:szCs w:val="18"/>
    </w:rPr>
  </w:style>
  <w:style w:type="paragraph" w:customStyle="1" w:styleId="25">
    <w:name w:val="列出段落1"/>
    <w:basedOn w:val="1"/>
    <w:qFormat/>
    <w:uiPriority w:val="99"/>
    <w:pPr>
      <w:ind w:firstLine="420" w:firstLineChars="200"/>
    </w:pPr>
  </w:style>
  <w:style w:type="character" w:customStyle="1" w:styleId="26">
    <w:name w:val="正文文本 (5)_"/>
    <w:link w:val="27"/>
    <w:qFormat/>
    <w:uiPriority w:val="99"/>
    <w:rPr>
      <w:rFonts w:ascii="MingLiU" w:eastAsia="MingLiU" w:cs="MingLiU"/>
      <w:spacing w:val="10"/>
      <w:sz w:val="26"/>
      <w:szCs w:val="26"/>
      <w:shd w:val="clear" w:color="auto" w:fill="FFFFFF"/>
    </w:rPr>
  </w:style>
  <w:style w:type="paragraph" w:customStyle="1" w:styleId="27">
    <w:name w:val="正文文本 (5)"/>
    <w:basedOn w:val="1"/>
    <w:link w:val="26"/>
    <w:qFormat/>
    <w:uiPriority w:val="99"/>
    <w:pPr>
      <w:shd w:val="clear" w:color="auto" w:fill="FFFFFF"/>
      <w:spacing w:after="300" w:line="240" w:lineRule="atLeast"/>
      <w:jc w:val="center"/>
    </w:pPr>
    <w:rPr>
      <w:rFonts w:ascii="MingLiU" w:eastAsia="MingLiU" w:cs="MingLiU"/>
      <w:spacing w:val="10"/>
      <w:kern w:val="0"/>
      <w:sz w:val="26"/>
      <w:szCs w:val="26"/>
    </w:rPr>
  </w:style>
  <w:style w:type="character" w:customStyle="1" w:styleId="28">
    <w:name w:val="标题 2 字符"/>
    <w:basedOn w:val="21"/>
    <w:link w:val="4"/>
    <w:qFormat/>
    <w:uiPriority w:val="0"/>
    <w:rPr>
      <w:rFonts w:ascii="方正楷体简体" w:hAnsi="宋体" w:eastAsia="方正楷体简体" w:cs="Times New Roman"/>
      <w:bCs/>
      <w:spacing w:val="-4"/>
      <w:kern w:val="2"/>
      <w:sz w:val="21"/>
      <w:szCs w:val="32"/>
    </w:rPr>
  </w:style>
  <w:style w:type="paragraph" w:customStyle="1" w:styleId="29">
    <w:name w:val="专栏"/>
    <w:basedOn w:val="1"/>
    <w:link w:val="30"/>
    <w:qFormat/>
    <w:uiPriority w:val="0"/>
    <w:pPr>
      <w:snapToGrid w:val="0"/>
      <w:spacing w:line="400" w:lineRule="exact"/>
      <w:ind w:firstLine="200" w:firstLineChars="200"/>
    </w:pPr>
    <w:rPr>
      <w:rFonts w:eastAsia="楷体"/>
      <w:sz w:val="24"/>
    </w:rPr>
  </w:style>
  <w:style w:type="character" w:customStyle="1" w:styleId="30">
    <w:name w:val="专栏 Char"/>
    <w:basedOn w:val="21"/>
    <w:link w:val="29"/>
    <w:qFormat/>
    <w:uiPriority w:val="0"/>
    <w:rPr>
      <w:rFonts w:eastAsia="楷体"/>
      <w:kern w:val="2"/>
      <w:sz w:val="24"/>
      <w:szCs w:val="24"/>
    </w:rPr>
  </w:style>
  <w:style w:type="character" w:customStyle="1" w:styleId="31">
    <w:name w:val="标题 1 字符"/>
    <w:basedOn w:val="21"/>
    <w:link w:val="3"/>
    <w:qFormat/>
    <w:uiPriority w:val="0"/>
    <w:rPr>
      <w:b/>
      <w:bCs/>
      <w:kern w:val="44"/>
      <w:sz w:val="44"/>
      <w:szCs w:val="44"/>
    </w:rPr>
  </w:style>
  <w:style w:type="character" w:customStyle="1" w:styleId="32">
    <w:name w:val="标题 字符"/>
    <w:basedOn w:val="21"/>
    <w:link w:val="19"/>
    <w:qFormat/>
    <w:uiPriority w:val="0"/>
    <w:rPr>
      <w:rFonts w:asciiTheme="majorHAnsi" w:hAnsiTheme="majorHAnsi" w:eastAsiaTheme="majorEastAsia" w:cstheme="majorBidi"/>
      <w:b/>
      <w:bCs/>
      <w:kern w:val="2"/>
      <w:sz w:val="32"/>
      <w:szCs w:val="32"/>
    </w:rPr>
  </w:style>
  <w:style w:type="character" w:customStyle="1" w:styleId="33">
    <w:name w:val="日期 字符"/>
    <w:basedOn w:val="21"/>
    <w:link w:val="9"/>
    <w:qFormat/>
    <w:uiPriority w:val="0"/>
    <w:rPr>
      <w:kern w:val="2"/>
      <w:sz w:val="21"/>
      <w:szCs w:val="24"/>
    </w:rPr>
  </w:style>
  <w:style w:type="paragraph" w:customStyle="1" w:styleId="3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5">
    <w:name w:val="未处理的提及1"/>
    <w:basedOn w:val="21"/>
    <w:unhideWhenUsed/>
    <w:qFormat/>
    <w:uiPriority w:val="99"/>
    <w:rPr>
      <w:color w:val="605E5C"/>
      <w:shd w:val="clear" w:color="auto" w:fill="E1DFDD"/>
    </w:rPr>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8">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9">
    <w:name w:val="font21"/>
    <w:basedOn w:val="21"/>
    <w:qFormat/>
    <w:uiPriority w:val="0"/>
    <w:rPr>
      <w:rFonts w:hint="eastAsia" w:ascii="仿宋" w:hAnsi="仿宋" w:eastAsia="仿宋" w:cs="仿宋"/>
      <w:color w:val="000000"/>
      <w:sz w:val="20"/>
      <w:szCs w:val="20"/>
      <w:u w:val="none"/>
    </w:rPr>
  </w:style>
  <w:style w:type="character" w:customStyle="1" w:styleId="40">
    <w:name w:val="font11"/>
    <w:basedOn w:val="21"/>
    <w:qFormat/>
    <w:uiPriority w:val="0"/>
    <w:rPr>
      <w:rFonts w:hint="eastAsia" w:ascii="宋体" w:hAnsi="宋体" w:eastAsia="宋体" w:cs="宋体"/>
      <w:color w:val="000000"/>
      <w:sz w:val="20"/>
      <w:szCs w:val="20"/>
      <w:u w:val="none"/>
    </w:rPr>
  </w:style>
  <w:style w:type="character" w:customStyle="1" w:styleId="41">
    <w:name w:val="font41"/>
    <w:basedOn w:val="21"/>
    <w:qFormat/>
    <w:uiPriority w:val="0"/>
    <w:rPr>
      <w:rFonts w:ascii="仿宋_GB2312" w:eastAsia="仿宋_GB2312" w:cs="仿宋_GB2312"/>
      <w:color w:val="000000"/>
      <w:sz w:val="20"/>
      <w:szCs w:val="20"/>
      <w:u w:val="none"/>
    </w:rPr>
  </w:style>
  <w:style w:type="character" w:customStyle="1" w:styleId="42">
    <w:name w:val="批注框文本 字符"/>
    <w:basedOn w:val="21"/>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31140;&#34174;\&#32789;&#22320;&#31649;&#29702;\&#26970;&#38596;&#24030;\&#26970;&#38596;&#24030;&#32789;&#22320;&#36164;&#28304;&#31649;&#29702;&#21333;&#20803;06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统计表!$B$46:$J$46</c:f>
              <c:strCache>
                <c:ptCount val="9"/>
                <c:pt idx="0">
                  <c:v>一等</c:v>
                </c:pt>
                <c:pt idx="1">
                  <c:v>二等</c:v>
                </c:pt>
                <c:pt idx="2">
                  <c:v>三等</c:v>
                </c:pt>
                <c:pt idx="3">
                  <c:v>四等</c:v>
                </c:pt>
                <c:pt idx="4">
                  <c:v>五等</c:v>
                </c:pt>
                <c:pt idx="5">
                  <c:v>六等</c:v>
                </c:pt>
                <c:pt idx="6">
                  <c:v>七等</c:v>
                </c:pt>
                <c:pt idx="7">
                  <c:v>八等</c:v>
                </c:pt>
                <c:pt idx="8">
                  <c:v>九等</c:v>
                </c:pt>
              </c:strCache>
            </c:strRef>
          </c:cat>
          <c:val>
            <c:numRef>
              <c:f>统计表!$B$47:$J$47</c:f>
              <c:numCache>
                <c:formatCode>0.00_);[Red]\(0.00\)</c:formatCode>
                <c:ptCount val="9"/>
                <c:pt idx="0">
                  <c:v>6.59917200599535</c:v>
                </c:pt>
                <c:pt idx="1">
                  <c:v>7.45313202595829</c:v>
                </c:pt>
                <c:pt idx="2">
                  <c:v>10.1767019045168</c:v>
                </c:pt>
                <c:pt idx="3">
                  <c:v>14.6897943641692</c:v>
                </c:pt>
                <c:pt idx="4">
                  <c:v>27.0575424598895</c:v>
                </c:pt>
                <c:pt idx="5">
                  <c:v>16.81937251536</c:v>
                </c:pt>
                <c:pt idx="6">
                  <c:v>12.321919636016</c:v>
                </c:pt>
                <c:pt idx="7">
                  <c:v>4.84959527841417</c:v>
                </c:pt>
                <c:pt idx="8">
                  <c:v>0.0327698096806867</c:v>
                </c:pt>
              </c:numCache>
            </c:numRef>
          </c:val>
        </c:ser>
        <c:dLbls>
          <c:showLegendKey val="0"/>
          <c:showVal val="0"/>
          <c:showCatName val="0"/>
          <c:showSerName val="0"/>
          <c:showPercent val="0"/>
          <c:showBubbleSize val="0"/>
        </c:dLbls>
        <c:gapWidth val="150"/>
        <c:axId val="385227392"/>
        <c:axId val="385233280"/>
      </c:barChart>
      <c:catAx>
        <c:axId val="38522739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crossAx val="385233280"/>
        <c:crosses val="autoZero"/>
        <c:auto val="1"/>
        <c:lblAlgn val="ctr"/>
        <c:lblOffset val="100"/>
        <c:noMultiLvlLbl val="0"/>
      </c:catAx>
      <c:valAx>
        <c:axId val="385233280"/>
        <c:scaling>
          <c:orientation val="minMax"/>
        </c:scaling>
        <c:delete val="0"/>
        <c:axPos val="l"/>
        <c:majorGridlines>
          <c:spPr>
            <a:ln w="9525" cap="flat" cmpd="sng" algn="ctr">
              <a:noFill/>
              <a:prstDash val="solid"/>
              <a:round/>
            </a:ln>
          </c:spPr>
        </c:majorGridlines>
        <c:title>
          <c:tx>
            <c:rich>
              <a:bodyPr rot="-54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sz="1200"/>
                  <a:t>各等级耕地面积比例（</a:t>
                </a:r>
                <a:r>
                  <a:rPr lang="en-US" sz="1200"/>
                  <a:t>%</a:t>
                </a:r>
                <a:r>
                  <a:rPr lang="zh-CN" sz="1200"/>
                  <a:t>）</a:t>
                </a:r>
                <a:endParaRPr lang="zh-CN" sz="1200"/>
              </a:p>
            </c:rich>
          </c:tx>
          <c:layout>
            <c:manualLayout>
              <c:xMode val="edge"/>
              <c:yMode val="edge"/>
              <c:x val="0.0257318460192476"/>
              <c:y val="0.135817293671624"/>
            </c:manualLayout>
          </c:layout>
          <c:overlay val="0"/>
        </c:title>
        <c:numFmt formatCode="0_ " sourceLinked="0"/>
        <c:majorTickMark val="none"/>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385227392"/>
        <c:crosses val="autoZero"/>
        <c:crossBetween val="between"/>
      </c:valAx>
      <c:spPr>
        <a:solidFill>
          <a:schemeClr val="bg1"/>
        </a:solidFill>
        <a:ln>
          <a:noFill/>
        </a:ln>
        <a:effectLst/>
      </c:spPr>
    </c:plotArea>
    <c:plotVisOnly val="1"/>
    <c:dispBlanksAs val="gap"/>
    <c:showDLblsOverMax val="0"/>
  </c:chart>
  <c:spPr>
    <a:ln w="9525" cap="flat" cmpd="sng" algn="ctr">
      <a:noFill/>
      <a:prstDash val="solid"/>
      <a:round/>
    </a:ln>
  </c:spPr>
  <c:txPr>
    <a:bodyPr/>
    <a:lstStyle/>
    <a:p>
      <a:pPr>
        <a:defRPr lang="zh-CN" b="1"/>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36145</Words>
  <Characters>38616</Characters>
  <Lines>319</Lines>
  <Paragraphs>90</Paragraphs>
  <TotalTime>5</TotalTime>
  <ScaleCrop>false</ScaleCrop>
  <LinksUpToDate>false</LinksUpToDate>
  <CharactersWithSpaces>54068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2022-08-26T15:28:00Z</dcterms:created>
  <dc:creator>Administrator</dc:creator>
  <cp:lastModifiedBy>张云霞</cp:lastModifiedBy>
  <cp:lastPrinted>2022-12-13T10:58:00Z</cp:lastPrinted>
  <dcterms:modified xsi:type="dcterms:W3CDTF">2024-01-16T07:19:08Z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AA9B6CEC672144508AD47C68C301A949</vt:lpwstr>
  </property>
</Properties>
</file>