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20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2021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年地方财政预算执行情况</w:t>
      </w:r>
    </w:p>
    <w:p>
      <w:pPr>
        <w:numPr>
          <w:ilvl w:val="0"/>
          <w:numId w:val="1"/>
        </w:numPr>
        <w:spacing w:line="53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一般公共预算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（二）政府性基金预算执行情况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（三）国有资本经营预算执行情况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ascii="Times New Roman" w:hAnsi="Times New Roman" w:eastAsia="方正楷体简体"/>
          <w:color w:val="000000"/>
          <w:sz w:val="32"/>
          <w:szCs w:val="32"/>
        </w:rPr>
        <w:t>社会保险基金预算执行情况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方正楷体简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楷体简体"/>
          <w:color w:val="000000"/>
          <w:sz w:val="32"/>
          <w:szCs w:val="32"/>
          <w:lang w:val="en-US" w:eastAsia="zh-CN"/>
        </w:rPr>
        <w:t>地方政府性债务情况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年财政主要工作</w:t>
      </w:r>
    </w:p>
    <w:p>
      <w:pPr>
        <w:widowControl/>
        <w:numPr>
          <w:ilvl w:val="0"/>
          <w:numId w:val="2"/>
        </w:numPr>
        <w:spacing w:line="550" w:lineRule="exact"/>
        <w:ind w:left="0" w:leftChars="0"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落实积极有为财政政策，推动经济持续健康发展</w:t>
      </w:r>
    </w:p>
    <w:p>
      <w:pPr>
        <w:numPr>
          <w:ilvl w:val="0"/>
          <w:numId w:val="2"/>
        </w:numPr>
        <w:spacing w:line="530" w:lineRule="exact"/>
        <w:ind w:left="0" w:leftChars="0"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支持乡村振兴战略推进，全力巩固脱贫攻坚成果</w:t>
      </w:r>
    </w:p>
    <w:p>
      <w:pPr>
        <w:numPr>
          <w:ilvl w:val="0"/>
          <w:numId w:val="2"/>
        </w:numPr>
        <w:spacing w:line="530" w:lineRule="exact"/>
        <w:ind w:left="0" w:leftChars="0"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加大民生领域保障力度，推动社会事业全面进步</w:t>
      </w:r>
    </w:p>
    <w:p>
      <w:pPr>
        <w:spacing w:line="530" w:lineRule="exact"/>
        <w:ind w:firstLine="627" w:firstLineChars="196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>强化重点支出保障投入，增强经济发展动能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（</w:t>
      </w:r>
      <w:r>
        <w:rPr>
          <w:rFonts w:hint="eastAsia" w:ascii="方正楷体简体" w:hAnsi="方正楷体简体" w:eastAsia="方正楷体简体" w:cs="方正楷体简体"/>
          <w:sz w:val="32"/>
          <w:highlight w:val="none"/>
          <w:lang w:val="en-US" w:eastAsia="zh-CN"/>
        </w:rPr>
        <w:t>五</w:t>
      </w: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抓好各类风险防控，切实守住工作底线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方正楷体简体" w:hAnsi="方正楷体简体" w:eastAsia="方正楷体简体" w:cs="方正楷体简体"/>
          <w:sz w:val="32"/>
          <w:szCs w:val="32"/>
          <w:highlight w:val="none"/>
          <w:lang w:val="en-US" w:eastAsia="zh-CN"/>
        </w:rPr>
        <w:t>深化财政管理体制改革，持续提升财政治理效能</w:t>
      </w:r>
    </w:p>
    <w:p>
      <w:pPr>
        <w:pStyle w:val="3"/>
        <w:ind w:left="0" w:leftChars="0" w:firstLine="640" w:firstLineChars="200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highlight w:val="none"/>
        </w:rPr>
        <w:t>年地方财政预算草案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highlight w:val="none"/>
          <w:lang w:val="en-US" w:eastAsia="zh-CN"/>
        </w:rPr>
        <w:t>2022年财政工作和预算编制的指导思想及原则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2022年财政收支预算安排情况</w:t>
      </w:r>
    </w:p>
    <w:p>
      <w:pPr>
        <w:spacing w:line="55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1.地方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</w:rPr>
        <w:t>一般公共预算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spacing w:line="55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</w:rPr>
        <w:t>政府性基金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</w:rPr>
        <w:t>国有资本经营预算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spacing w:line="550" w:lineRule="exact"/>
        <w:ind w:firstLine="643" w:firstLineChars="200"/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</w:rPr>
        <w:t>社会保险基金预算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简体" w:cs="Times New Roman"/>
          <w:bCs/>
          <w:kern w:val="0"/>
          <w:sz w:val="32"/>
          <w:szCs w:val="32"/>
          <w:highlight w:val="none"/>
        </w:rPr>
        <w:t>、202</w:t>
      </w: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黑体简体" w:cs="Times New Roman"/>
          <w:bCs/>
          <w:kern w:val="0"/>
          <w:sz w:val="32"/>
          <w:szCs w:val="32"/>
          <w:highlight w:val="none"/>
        </w:rPr>
        <w:t>年财政重点工作</w:t>
      </w:r>
    </w:p>
    <w:p>
      <w:pPr>
        <w:numPr>
          <w:ilvl w:val="0"/>
          <w:numId w:val="3"/>
        </w:numPr>
        <w:spacing w:line="530" w:lineRule="exact"/>
        <w:ind w:firstLine="640" w:firstLineChars="200"/>
        <w:rPr>
          <w:rFonts w:hint="eastAsia" w:eastAsia="方正楷体简体"/>
          <w:sz w:val="32"/>
          <w:szCs w:val="32"/>
          <w:highlight w:val="none"/>
          <w:lang w:val="en-US" w:eastAsia="zh-CN"/>
        </w:rPr>
      </w:pPr>
      <w:r>
        <w:rPr>
          <w:rFonts w:hint="eastAsia" w:eastAsia="方正楷体简体"/>
          <w:sz w:val="32"/>
          <w:szCs w:val="32"/>
          <w:highlight w:val="none"/>
          <w:lang w:val="en-US" w:eastAsia="zh-CN"/>
        </w:rPr>
        <w:t>开源节流，推动财政政策提质增效，更可持续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（二）全力保障脱贫攻坚与乡村振兴有效衔接，支持污染防治和重大风险防控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三）兜牢“三保”底线，加大民生领域投入</w:t>
      </w:r>
    </w:p>
    <w:p>
      <w:pPr>
        <w:spacing w:line="53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四）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全力深化财税体制改革，加快推进财政治理体系和治理能力现代化</w:t>
      </w:r>
    </w:p>
    <w:p>
      <w:pPr>
        <w:pStyle w:val="3"/>
        <w:rPr>
          <w:rFonts w:hint="eastAsia"/>
        </w:rPr>
      </w:pPr>
    </w:p>
    <w:p>
      <w:pPr>
        <w:spacing w:line="53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              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年一般公共预算收入执行情况表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年政府性基金预算收入执行情况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年政府性基金预算支出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年国有资本经营预算收入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执行情况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执行情况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表七、武定县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表八、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年社会保险基金结余情况表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年一般公共预算政府预算经济分类表（基本支出）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--4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年一般公共预算支出表（县对下转移支付项目）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--5、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 xml:space="preserve">武定县 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年分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地区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税收返还和转移支付预算表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--6、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年“三公”经费预算财政拨款情况统计表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表十一、武定县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年政府预算支出经济分类情况表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年政府性基金预算支出情况表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年政府性基金预算支出情况表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--3、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年政府性基金支出表（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对下转移支付）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年国有资本经营收入预算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预算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年国有资本经营收入预算情况表</w:t>
      </w:r>
    </w:p>
    <w:p>
      <w:pPr>
        <w:spacing w:line="530" w:lineRule="exact"/>
        <w:ind w:left="2558" w:leftChars="304" w:hanging="1920" w:hangingChars="600"/>
        <w:rPr>
          <w:rFonts w:hint="default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--4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年国有资本经营支出预算情况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表(公开到项）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--5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 xml:space="preserve">武定县 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年国有资本经营预算转移支付表（分乡镇）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--6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年国有资本经营预算转移支付表（分项目）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年社会保险基金收入预算情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年社会保险基金收入预算情况表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年社会保险基金支出预算情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况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</w:p>
    <w:p>
      <w:pPr>
        <w:spacing w:line="530" w:lineRule="exact"/>
        <w:ind w:left="2318" w:leftChars="342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年社会保险基金支出预算情况表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表十七、武定县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年社会保险基金结余预算情况表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年地方政府债务限额和余额情况表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--4、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--5、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--6、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武定县地方政府债券发行及还本付息情况表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--7、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年地方政府债务限额提前下达情况表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--8、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年年初新增地方政府债券资金安排表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表十九、武定县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年地方政府债务投向情况表</w:t>
      </w:r>
    </w:p>
    <w:p>
      <w:pPr>
        <w:spacing w:line="530" w:lineRule="exact"/>
        <w:ind w:left="1892" w:leftChars="304" w:hanging="1254" w:hangingChars="392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年地方政府债务限额和余额情况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 xml:space="preserve">     表 </w:t>
      </w:r>
    </w:p>
    <w:p>
      <w:pPr>
        <w:spacing w:line="530" w:lineRule="exact"/>
        <w:ind w:left="2212" w:leftChars="304" w:hanging="1574" w:hangingChars="492"/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一、武定县2022年县级重大政策和重点项目绩效目标表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表二十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eastAsia="zh-CN"/>
        </w:rPr>
        <w:t>、重点工作情况解释说明汇总表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武定县202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ascii="Times New Roman" w:hAnsi="Times New Roman" w:eastAsia="方正小标宋简体" w:cs="Times New Roman"/>
          <w:sz w:val="44"/>
          <w:szCs w:val="44"/>
        </w:rPr>
        <w:t>预算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情况汇总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表一、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年一般公共预算支出汇总表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表二、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年财政拨款收支预算汇总表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表三、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年收支预算总表</w:t>
      </w:r>
    </w:p>
    <w:p>
      <w:pPr>
        <w:spacing w:line="530" w:lineRule="exact"/>
        <w:ind w:firstLine="800" w:firstLineChars="25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表四、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年一般公共预算基本支出明细表</w:t>
      </w:r>
    </w:p>
    <w:p>
      <w:pPr>
        <w:spacing w:line="530" w:lineRule="exact"/>
        <w:ind w:left="1710" w:leftChars="400" w:hanging="870" w:hangingChars="272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表五、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年一般公共预算部门项目支出明细表</w:t>
      </w:r>
    </w:p>
    <w:p>
      <w:pPr>
        <w:spacing w:line="530" w:lineRule="exact"/>
        <w:ind w:left="1755" w:leftChars="400" w:hanging="915" w:hangingChars="286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表六、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年“三公”经费财政拨款支出预算汇总表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七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年部门政府采购预算汇总表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八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年部门政府购买服务预算汇总表</w:t>
      </w:r>
    </w:p>
    <w:p>
      <w:pPr>
        <w:pStyle w:val="2"/>
        <w:ind w:left="1920" w:hanging="1920" w:hangingChars="600"/>
        <w:jc w:val="both"/>
        <w:rPr>
          <w:rFonts w:hint="default"/>
          <w:lang w:val="en-US"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 xml:space="preserve">     表九、武定县2022年国标省标县级“三保”预算编制情况表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年地方财政预算（草案）编制说明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30" w:lineRule="exact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二、编制要求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三、编制方法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四、编制程序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2022年人员及车辆基本情况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六、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highlight w:val="none"/>
          <w:lang w:val="en-US" w:eastAsia="zh-CN"/>
        </w:rPr>
        <w:t>国标省标县级“三保”支出预算情况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七、2021年县级可用财力及支出安排情况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八、报表体系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九、名词解释</w:t>
      </w:r>
    </w:p>
    <w:p>
      <w:pPr>
        <w:pStyle w:val="2"/>
        <w:jc w:val="both"/>
        <w:rPr>
          <w:rFonts w:hint="default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十、政策解读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其他情况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执行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2021年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举借债务情况说明</w:t>
      </w:r>
    </w:p>
    <w:p>
      <w:pPr>
        <w:numPr>
          <w:ilvl w:val="0"/>
          <w:numId w:val="4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年“三公”经费预算安排情况说明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30" w:lineRule="exact"/>
        <w:ind w:firstLine="56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 w:leftChars="200" w:right="420" w:rightChars="200"/>
      <w:rPr>
        <w:rStyle w:val="9"/>
        <w:sz w:val="28"/>
        <w:szCs w:val="28"/>
      </w:rPr>
    </w:pPr>
    <w:r>
      <w:rPr>
        <w:rStyle w:val="9"/>
        <w:sz w:val="28"/>
        <w:szCs w:val="28"/>
      </w:rPr>
      <w:ptab w:relativeTo="margin" w:alignment="center" w:leader="none"/>
    </w:r>
    <w:r>
      <w:rPr>
        <w:rStyle w:val="9"/>
        <w:rFonts w:hint="eastAsia"/>
        <w:sz w:val="28"/>
        <w:szCs w:val="28"/>
      </w:rPr>
      <w:t>-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7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-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0D84A"/>
    <w:multiLevelType w:val="singleLevel"/>
    <w:tmpl w:val="C560D8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B609EAC"/>
    <w:multiLevelType w:val="singleLevel"/>
    <w:tmpl w:val="FB609E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A602889"/>
    <w:multiLevelType w:val="singleLevel"/>
    <w:tmpl w:val="0A6028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CA1D737"/>
    <w:multiLevelType w:val="singleLevel"/>
    <w:tmpl w:val="5CA1D73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09590E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1976300"/>
    <w:rsid w:val="019B417F"/>
    <w:rsid w:val="063A56C2"/>
    <w:rsid w:val="083644EA"/>
    <w:rsid w:val="08565026"/>
    <w:rsid w:val="09FE30DE"/>
    <w:rsid w:val="0ADF6830"/>
    <w:rsid w:val="0C505BB0"/>
    <w:rsid w:val="0E6E0C73"/>
    <w:rsid w:val="0F197B3E"/>
    <w:rsid w:val="0FBA6B01"/>
    <w:rsid w:val="1026783A"/>
    <w:rsid w:val="12587788"/>
    <w:rsid w:val="127671F9"/>
    <w:rsid w:val="12B54D09"/>
    <w:rsid w:val="18A0681C"/>
    <w:rsid w:val="1A4E2E08"/>
    <w:rsid w:val="1D2C4A97"/>
    <w:rsid w:val="1DE5276B"/>
    <w:rsid w:val="1E0F6FEA"/>
    <w:rsid w:val="20370671"/>
    <w:rsid w:val="20C8372D"/>
    <w:rsid w:val="231C4BC9"/>
    <w:rsid w:val="23B25F8F"/>
    <w:rsid w:val="23DE4AA0"/>
    <w:rsid w:val="244F6802"/>
    <w:rsid w:val="247167D4"/>
    <w:rsid w:val="24C03088"/>
    <w:rsid w:val="2521593A"/>
    <w:rsid w:val="26214FC9"/>
    <w:rsid w:val="27961DB9"/>
    <w:rsid w:val="2878231B"/>
    <w:rsid w:val="29435B30"/>
    <w:rsid w:val="2AF751FB"/>
    <w:rsid w:val="2D015A6B"/>
    <w:rsid w:val="2D94197D"/>
    <w:rsid w:val="2F8E5559"/>
    <w:rsid w:val="30311BE8"/>
    <w:rsid w:val="315C56E0"/>
    <w:rsid w:val="32C84254"/>
    <w:rsid w:val="32F4047F"/>
    <w:rsid w:val="345C2DF6"/>
    <w:rsid w:val="35DC387F"/>
    <w:rsid w:val="38C54CF6"/>
    <w:rsid w:val="38E009FA"/>
    <w:rsid w:val="395A44BA"/>
    <w:rsid w:val="3A1A4A52"/>
    <w:rsid w:val="401C28C4"/>
    <w:rsid w:val="408B2236"/>
    <w:rsid w:val="430203C8"/>
    <w:rsid w:val="430951FE"/>
    <w:rsid w:val="45AB34AB"/>
    <w:rsid w:val="4874245F"/>
    <w:rsid w:val="493E2340"/>
    <w:rsid w:val="4A3238CB"/>
    <w:rsid w:val="4C340FC2"/>
    <w:rsid w:val="51BD6336"/>
    <w:rsid w:val="51F0347A"/>
    <w:rsid w:val="53A47009"/>
    <w:rsid w:val="547900CB"/>
    <w:rsid w:val="55A17A51"/>
    <w:rsid w:val="55E26B36"/>
    <w:rsid w:val="57346B5A"/>
    <w:rsid w:val="58B4671A"/>
    <w:rsid w:val="591900EC"/>
    <w:rsid w:val="593E46D8"/>
    <w:rsid w:val="599770FE"/>
    <w:rsid w:val="5B0D5E09"/>
    <w:rsid w:val="5B5E05B0"/>
    <w:rsid w:val="5E180195"/>
    <w:rsid w:val="60913AE6"/>
    <w:rsid w:val="612A704A"/>
    <w:rsid w:val="646C50C1"/>
    <w:rsid w:val="65574A6F"/>
    <w:rsid w:val="6AA07600"/>
    <w:rsid w:val="6CE25CBE"/>
    <w:rsid w:val="6D6D3AB3"/>
    <w:rsid w:val="6F202ABC"/>
    <w:rsid w:val="713B4AC4"/>
    <w:rsid w:val="731F0D87"/>
    <w:rsid w:val="7401463C"/>
    <w:rsid w:val="7471294B"/>
    <w:rsid w:val="74A52066"/>
    <w:rsid w:val="758F3300"/>
    <w:rsid w:val="7604418B"/>
    <w:rsid w:val="766223BD"/>
    <w:rsid w:val="78B16E9A"/>
    <w:rsid w:val="793E3889"/>
    <w:rsid w:val="7C4F7750"/>
    <w:rsid w:val="7CBA5AC4"/>
    <w:rsid w:val="7F7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eastAsia="楷体_GB2312"/>
      <w:sz w:val="44"/>
    </w:rPr>
  </w:style>
  <w:style w:type="paragraph" w:styleId="3">
    <w:name w:val="toc 5"/>
    <w:basedOn w:val="1"/>
    <w:next w:val="1"/>
    <w:qFormat/>
    <w:uiPriority w:val="99"/>
    <w:pPr>
      <w:ind w:left="168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8"/>
    <w:link w:val="12"/>
    <w:qFormat/>
    <w:uiPriority w:val="1"/>
    <w:rPr>
      <w:sz w:val="22"/>
      <w:szCs w:val="22"/>
    </w:rPr>
  </w:style>
  <w:style w:type="paragraph" w:customStyle="1" w:styleId="14">
    <w:name w:val="Normal Indent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TotalTime>1</TotalTime>
  <ScaleCrop>false</ScaleCrop>
  <LinksUpToDate>false</LinksUpToDate>
  <CharactersWithSpaces>3102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wdcz</cp:lastModifiedBy>
  <dcterms:modified xsi:type="dcterms:W3CDTF">2022-02-14T10:01:31Z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